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AA90" w14:textId="015696CB" w:rsidR="0075721C" w:rsidRPr="000922AD" w:rsidRDefault="000922AD" w:rsidP="000922AD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0922AD">
        <w:rPr>
          <w:rFonts w:ascii="Times New Roman" w:hAnsi="Times New Roman"/>
          <w:b/>
          <w:bCs/>
        </w:rPr>
        <w:t xml:space="preserve">Додаток до листа </w:t>
      </w:r>
      <w:proofErr w:type="spellStart"/>
      <w:r w:rsidRPr="000922AD">
        <w:rPr>
          <w:rFonts w:ascii="Times New Roman" w:hAnsi="Times New Roman"/>
          <w:b/>
          <w:bCs/>
        </w:rPr>
        <w:t>Телекомпалати</w:t>
      </w:r>
      <w:proofErr w:type="spellEnd"/>
      <w:r w:rsidRPr="000922AD">
        <w:rPr>
          <w:rFonts w:ascii="Times New Roman" w:hAnsi="Times New Roman"/>
          <w:b/>
          <w:bCs/>
        </w:rPr>
        <w:t xml:space="preserve"> України від 07.08.2025 р. № 2908</w:t>
      </w:r>
    </w:p>
    <w:p w14:paraId="7D17140D" w14:textId="77777777" w:rsidR="0075721C" w:rsidRPr="00041503" w:rsidRDefault="0075721C" w:rsidP="006775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503">
        <w:rPr>
          <w:rFonts w:ascii="Times New Roman" w:hAnsi="Times New Roman"/>
          <w:b/>
          <w:bCs/>
          <w:sz w:val="28"/>
          <w:szCs w:val="28"/>
        </w:rPr>
        <w:t>ІНФОРМАЦІЯ</w:t>
      </w:r>
    </w:p>
    <w:p w14:paraId="79692A55" w14:textId="77777777" w:rsidR="006775F8" w:rsidRPr="00041503" w:rsidRDefault="00B06AF3" w:rsidP="006775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503">
        <w:rPr>
          <w:rFonts w:ascii="Times New Roman" w:hAnsi="Times New Roman"/>
          <w:b/>
          <w:bCs/>
          <w:sz w:val="28"/>
          <w:szCs w:val="28"/>
        </w:rPr>
        <w:t xml:space="preserve">щодо </w:t>
      </w:r>
      <w:r w:rsidR="0075721C" w:rsidRPr="00041503">
        <w:rPr>
          <w:rFonts w:ascii="Times New Roman" w:hAnsi="Times New Roman"/>
          <w:b/>
          <w:bCs/>
          <w:sz w:val="28"/>
          <w:szCs w:val="28"/>
        </w:rPr>
        <w:t xml:space="preserve">існування надмірних </w:t>
      </w:r>
      <w:r w:rsidRPr="00041503">
        <w:rPr>
          <w:rFonts w:ascii="Times New Roman" w:hAnsi="Times New Roman"/>
          <w:b/>
          <w:bCs/>
          <w:sz w:val="28"/>
          <w:szCs w:val="28"/>
        </w:rPr>
        <w:t xml:space="preserve">інструментів державного регулювання (документи дозвільного характеру; </w:t>
      </w:r>
      <w:r w:rsidR="0075721C" w:rsidRPr="00041503">
        <w:rPr>
          <w:rFonts w:ascii="Times New Roman" w:hAnsi="Times New Roman"/>
          <w:b/>
          <w:bCs/>
          <w:sz w:val="28"/>
          <w:szCs w:val="28"/>
        </w:rPr>
        <w:br/>
      </w:r>
      <w:r w:rsidRPr="00041503">
        <w:rPr>
          <w:rFonts w:ascii="Times New Roman" w:hAnsi="Times New Roman"/>
          <w:b/>
          <w:bCs/>
          <w:sz w:val="28"/>
          <w:szCs w:val="28"/>
        </w:rPr>
        <w:t>інші документи, що містять ознаки документів дозвільного характеру, та ліцензії</w:t>
      </w:r>
      <w:r w:rsidR="006775F8" w:rsidRPr="00041503">
        <w:rPr>
          <w:rFonts w:ascii="Times New Roman" w:hAnsi="Times New Roman"/>
          <w:b/>
          <w:bCs/>
          <w:sz w:val="28"/>
          <w:szCs w:val="28"/>
        </w:rPr>
        <w:t xml:space="preserve"> на провадження </w:t>
      </w:r>
    </w:p>
    <w:p w14:paraId="528A0992" w14:textId="77777777" w:rsidR="00B06AF3" w:rsidRPr="00041503" w:rsidRDefault="006775F8" w:rsidP="006775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503">
        <w:rPr>
          <w:rFonts w:ascii="Times New Roman" w:hAnsi="Times New Roman"/>
          <w:b/>
          <w:bCs/>
          <w:sz w:val="28"/>
          <w:szCs w:val="28"/>
        </w:rPr>
        <w:t>відповідного виду господарської діяльності</w:t>
      </w:r>
      <w:r w:rsidR="00B06AF3" w:rsidRPr="00041503">
        <w:rPr>
          <w:rFonts w:ascii="Times New Roman" w:hAnsi="Times New Roman"/>
          <w:b/>
          <w:bCs/>
          <w:sz w:val="28"/>
          <w:szCs w:val="28"/>
        </w:rPr>
        <w:t>)</w:t>
      </w:r>
    </w:p>
    <w:p w14:paraId="149E0846" w14:textId="77777777" w:rsidR="00B06AF3" w:rsidRPr="00041503" w:rsidRDefault="00B06AF3" w:rsidP="00B31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50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667"/>
        <w:gridCol w:w="1869"/>
        <w:gridCol w:w="1874"/>
        <w:gridCol w:w="2245"/>
        <w:gridCol w:w="2799"/>
        <w:gridCol w:w="4420"/>
      </w:tblGrid>
      <w:tr w:rsidR="0075721C" w:rsidRPr="006C59BB" w14:paraId="00C9ECBE" w14:textId="77777777" w:rsidTr="00380A1B">
        <w:trPr>
          <w:jc w:val="center"/>
        </w:trPr>
        <w:tc>
          <w:tcPr>
            <w:tcW w:w="524" w:type="dxa"/>
            <w:vAlign w:val="center"/>
          </w:tcPr>
          <w:p w14:paraId="0DB01DEE" w14:textId="77777777" w:rsidR="0075721C" w:rsidRPr="006C59BB" w:rsidRDefault="0075721C" w:rsidP="000659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667" w:type="dxa"/>
            <w:vAlign w:val="center"/>
          </w:tcPr>
          <w:p w14:paraId="3878E54A" w14:textId="77777777" w:rsidR="0075721C" w:rsidRPr="006C59BB" w:rsidRDefault="007572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Сфера регулювання</w:t>
            </w:r>
          </w:p>
        </w:tc>
        <w:tc>
          <w:tcPr>
            <w:tcW w:w="1869" w:type="dxa"/>
            <w:vAlign w:val="center"/>
          </w:tcPr>
          <w:p w14:paraId="110119B5" w14:textId="77777777" w:rsidR="0075721C" w:rsidRPr="006C59BB" w:rsidRDefault="0075721C" w:rsidP="00757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Назви</w:t>
            </w:r>
          </w:p>
          <w:p w14:paraId="7243F5B7" w14:textId="77777777" w:rsidR="0075721C" w:rsidRPr="006C59BB" w:rsidRDefault="0075721C" w:rsidP="00757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інструментів державного регулювання </w:t>
            </w: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 відповідній сфері</w:t>
            </w:r>
          </w:p>
        </w:tc>
        <w:tc>
          <w:tcPr>
            <w:tcW w:w="1874" w:type="dxa"/>
            <w:vAlign w:val="center"/>
          </w:tcPr>
          <w:p w14:paraId="343659D4" w14:textId="77777777" w:rsidR="0075721C" w:rsidRPr="006C59BB" w:rsidRDefault="007572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Найменування органів, </w:t>
            </w:r>
          </w:p>
          <w:p w14:paraId="2420E6AB" w14:textId="77777777" w:rsidR="0075721C" w:rsidRPr="006C59BB" w:rsidRDefault="007572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що видають такі документи</w:t>
            </w:r>
          </w:p>
          <w:p w14:paraId="1D3E00FF" w14:textId="77777777" w:rsidR="0075721C" w:rsidRPr="006C59BB" w:rsidRDefault="007572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6EB8E610" w14:textId="77777777" w:rsidR="0075721C" w:rsidRPr="006C59BB" w:rsidRDefault="0075721C" w:rsidP="007572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Нормативно-правові акти, </w:t>
            </w:r>
          </w:p>
          <w:p w14:paraId="465EF331" w14:textId="77777777" w:rsidR="0075721C" w:rsidRPr="006C59BB" w:rsidRDefault="0075721C" w:rsidP="007572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що передбачають видачу відповідного інструмента державного регулювання</w:t>
            </w:r>
          </w:p>
          <w:p w14:paraId="43A4708C" w14:textId="77777777" w:rsidR="0075721C" w:rsidRPr="006C59BB" w:rsidRDefault="0075721C" w:rsidP="00757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BB">
              <w:rPr>
                <w:rFonts w:ascii="Times New Roman" w:hAnsi="Times New Roman"/>
                <w:sz w:val="24"/>
                <w:szCs w:val="24"/>
              </w:rPr>
              <w:t>(назва, дата, номер)</w:t>
            </w:r>
          </w:p>
        </w:tc>
        <w:tc>
          <w:tcPr>
            <w:tcW w:w="2799" w:type="dxa"/>
            <w:vAlign w:val="center"/>
          </w:tcPr>
          <w:p w14:paraId="167E8B38" w14:textId="77777777" w:rsidR="0075721C" w:rsidRPr="006C59BB" w:rsidRDefault="007572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Обґрунтування </w:t>
            </w: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щодо надмірного регулювання </w:t>
            </w:r>
            <w:r w:rsidR="000659F2"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відповідної </w:t>
            </w: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сфери інструментами державного регулювання</w:t>
            </w:r>
          </w:p>
        </w:tc>
        <w:tc>
          <w:tcPr>
            <w:tcW w:w="4420" w:type="dxa"/>
            <w:vAlign w:val="center"/>
          </w:tcPr>
          <w:p w14:paraId="0FAFAD73" w14:textId="77777777" w:rsidR="0075721C" w:rsidRPr="006C59BB" w:rsidRDefault="0075721C" w:rsidP="00202A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Пропозиції щодо удосконалення/спрощення/скасування інструментів державного регулювання</w:t>
            </w:r>
          </w:p>
          <w:p w14:paraId="619DE0E7" w14:textId="77777777" w:rsidR="00202A2F" w:rsidRPr="006C59BB" w:rsidRDefault="00202A2F" w:rsidP="00202A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9BB">
              <w:rPr>
                <w:rFonts w:ascii="Times New Roman" w:hAnsi="Times New Roman"/>
                <w:b/>
                <w:bCs/>
                <w:sz w:val="24"/>
                <w:szCs w:val="24"/>
              </w:rPr>
              <w:t>у відповідній сфері</w:t>
            </w:r>
          </w:p>
        </w:tc>
      </w:tr>
      <w:tr w:rsidR="009465D9" w:rsidRPr="006C59BB" w14:paraId="17BF69F2" w14:textId="77777777" w:rsidTr="00380A1B">
        <w:trPr>
          <w:jc w:val="center"/>
        </w:trPr>
        <w:tc>
          <w:tcPr>
            <w:tcW w:w="524" w:type="dxa"/>
          </w:tcPr>
          <w:p w14:paraId="5D8BDAF0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7" w:type="dxa"/>
          </w:tcPr>
          <w:p w14:paraId="595AFF94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Земельне законодавство</w:t>
            </w:r>
          </w:p>
        </w:tc>
        <w:tc>
          <w:tcPr>
            <w:tcW w:w="1869" w:type="dxa"/>
          </w:tcPr>
          <w:p w14:paraId="130BC6A2" w14:textId="4C4282F1" w:rsidR="009465D9" w:rsidRPr="006C59BB" w:rsidRDefault="000922AD" w:rsidP="00946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87CBF" w:rsidRPr="0098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ідведення землі</w:t>
            </w:r>
          </w:p>
        </w:tc>
        <w:tc>
          <w:tcPr>
            <w:tcW w:w="1874" w:type="dxa"/>
          </w:tcPr>
          <w:p w14:paraId="45CFDD9D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 місцевого самоврядування</w:t>
            </w:r>
          </w:p>
        </w:tc>
        <w:tc>
          <w:tcPr>
            <w:tcW w:w="2245" w:type="dxa"/>
          </w:tcPr>
          <w:p w14:paraId="5275A2AE" w14:textId="77777777" w:rsidR="009465D9" w:rsidRDefault="009465D9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Внести зміни до: </w:t>
            </w:r>
            <w:r w:rsidR="00B70EBE">
              <w:rPr>
                <w:rFonts w:ascii="Times New Roman" w:hAnsi="Times New Roman"/>
                <w:color w:val="000000"/>
                <w:sz w:val="24"/>
                <w:szCs w:val="24"/>
              </w:rPr>
              <w:t>статтею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116, 117, 123 Земельного кодексу</w:t>
            </w:r>
          </w:p>
          <w:p w14:paraId="05EED477" w14:textId="77777777" w:rsidR="009465D9" w:rsidRDefault="009465D9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Закону України «Про землеу</w:t>
            </w:r>
            <w:r w:rsidR="00987C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трій»</w:t>
            </w:r>
          </w:p>
          <w:p w14:paraId="3659983F" w14:textId="77777777" w:rsidR="009465D9" w:rsidRDefault="009465D9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Податкового кодексу України</w:t>
            </w:r>
          </w:p>
          <w:p w14:paraId="26327983" w14:textId="77777777" w:rsidR="009465D9" w:rsidRDefault="009465D9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6C5B25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CF1A25C" w14:textId="77777777" w:rsidR="009465D9" w:rsidRPr="006C59BB" w:rsidRDefault="009465D9" w:rsidP="00946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 місцевого самоврядування не дотримуються строків розгляду питань щодо відведення землі, встановлених законодавством, у зв’язку з чим відведення землі для розгортання електронних комунікаційних мереж розтягується в часі. В деяких випадках рішення сесії можна чекати 1-1,5 роки, якщо сільська рада не зацікавлена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будівництві вежі і наявності мобільного зв’язку. Відсутній законодавчий механізм впливу на такі органи, крім суду, який теж може тривати роками.</w:t>
            </w:r>
          </w:p>
        </w:tc>
        <w:tc>
          <w:tcPr>
            <w:tcW w:w="4420" w:type="dxa"/>
          </w:tcPr>
          <w:p w14:paraId="6CEE9071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Пропонуємо внести такі зміни:</w:t>
            </w:r>
          </w:p>
          <w:p w14:paraId="172823E8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Стаття 116 Земельного кодексу: </w:t>
            </w:r>
            <w:hyperlink r:id="rId6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Громадяни та юридичні особи набувають права власності та права користування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земельними ділянками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із земель державної або комунальної власності за рішенням органів виконавчої влади або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органів місцевого самоврядування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в межах їх повноважень, визначених цим Кодексом</w:t>
              </w:r>
            </w:hyperlink>
            <w:hyperlink r:id="rId11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, або за результатами аукціону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крім земель для розгортання електронних комунікаційних мереж</w:t>
            </w:r>
            <w:hyperlink r:id="rId12" w:tgtFrame="_blank" w:history="1">
              <w:r>
                <w:rPr>
                  <w:rStyle w:val="af1"/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</w:p>
          <w:p w14:paraId="79F641A3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40F98E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Стаття 117 Земельного кодексу України</w:t>
            </w:r>
          </w:p>
          <w:p w14:paraId="12B2B9CB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оповнити:</w:t>
            </w:r>
          </w:p>
          <w:p w14:paraId="6D8E684D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443DB9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земельних ділянок державної власності у комунальну власність чи навпаки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розгортання електронних комунікаційних мереж здійснюється без рішення органів виконавчої влади або місцевого самоврядування, на підставі проектної документації на відповідну земельну ділянку та витягу з державного реєстру речових прав, який підтверджує відсутність орендарів та обтяжень на земельну ділянку.</w:t>
            </w:r>
          </w:p>
          <w:p w14:paraId="54009D79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6A61ECC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Стаття 123 Земельного кодексу України:</w:t>
            </w:r>
          </w:p>
          <w:p w14:paraId="1DF84AE8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Доповнити частиною 17:</w:t>
            </w:r>
          </w:p>
          <w:p w14:paraId="595E751B" w14:textId="77777777" w:rsidR="009465D9" w:rsidRPr="006C59BB" w:rsidRDefault="009465D9" w:rsidP="00B7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Надання у користування земельної ділянки для розгортання електронних комунікаційних мереж, зареєстрованої в Державному земельному кадастрі відповідно до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Закону України "Про Державний земельний кадастр"</w:t>
              </w:r>
            </w:hyperlink>
            <w:hyperlink r:id="rId15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, право власності на яку зареєстровано у Державному реєстрі речових прав на нерухоме майно, здійснюється без рішення органів виконавчої влади або органів місцевого самоврядування 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на підставі проектної документації на відповідну земельну ділянку та витягу з державного реєстру речових прав, який підтверджує відсутність орендарів та обтяжень на земельну ділянку</w:t>
              </w:r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Дозвіл на розробку або затвердження проектної документації для розгортання електронних комунікаційних мереж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вимагається.</w:t>
            </w:r>
          </w:p>
        </w:tc>
      </w:tr>
      <w:tr w:rsidR="009465D9" w:rsidRPr="006C59BB" w14:paraId="06064947" w14:textId="77777777" w:rsidTr="00380A1B">
        <w:trPr>
          <w:jc w:val="center"/>
        </w:trPr>
        <w:tc>
          <w:tcPr>
            <w:tcW w:w="524" w:type="dxa"/>
          </w:tcPr>
          <w:p w14:paraId="25503A4A" w14:textId="19E30177" w:rsidR="009465D9" w:rsidRPr="006C59BB" w:rsidRDefault="000922AD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7" w:type="dxa"/>
          </w:tcPr>
          <w:p w14:paraId="11D8E667" w14:textId="77777777" w:rsidR="009465D9" w:rsidRPr="006C59BB" w:rsidRDefault="00F15820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Земельне законодавство</w:t>
            </w:r>
          </w:p>
        </w:tc>
        <w:tc>
          <w:tcPr>
            <w:tcW w:w="1869" w:type="dxa"/>
          </w:tcPr>
          <w:p w14:paraId="490BB5C4" w14:textId="6AB4FE2E" w:rsidR="009465D9" w:rsidRPr="006C59BB" w:rsidRDefault="000922AD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6772E" w:rsidRPr="00D6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роведення робіт із землеустрою </w:t>
            </w:r>
          </w:p>
        </w:tc>
        <w:tc>
          <w:tcPr>
            <w:tcW w:w="1874" w:type="dxa"/>
          </w:tcPr>
          <w:p w14:paraId="6148EA75" w14:textId="77777777" w:rsidR="009465D9" w:rsidRPr="006C59BB" w:rsidRDefault="00D6772E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Рішен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ня </w:t>
            </w:r>
            <w:r w:rsidRPr="00D6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органів виконавчої влади та органів місцевого самоврядування</w:t>
            </w:r>
          </w:p>
        </w:tc>
        <w:tc>
          <w:tcPr>
            <w:tcW w:w="2245" w:type="dxa"/>
          </w:tcPr>
          <w:p w14:paraId="45576491" w14:textId="77777777" w:rsidR="00D6772E" w:rsidRDefault="00D6772E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 «Про землеустрій»</w:t>
            </w:r>
          </w:p>
          <w:p w14:paraId="44B9F541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Стаття 22</w:t>
            </w:r>
          </w:p>
        </w:tc>
        <w:tc>
          <w:tcPr>
            <w:tcW w:w="2799" w:type="dxa"/>
          </w:tcPr>
          <w:p w14:paraId="2D028BA4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</w:tcPr>
          <w:p w14:paraId="55B3E1ED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Землеустрій здійснюється на підставі:</w:t>
            </w:r>
          </w:p>
          <w:p w14:paraId="70EF28A5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рішень органів виконавчої влади та органів місцевого самоврядування щодо проведення робіт із землеустрою </w:t>
            </w:r>
            <w:hyperlink r:id="rId16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(у тому числі при розробленні містобудівної документації)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крім землеустрою для розгортання електронних комунікаційних мереж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F74332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(пункт "а" частини першої статті 22 із змінами,</w:t>
              </w:r>
              <w:r>
                <w:rPr>
                  <w:rStyle w:val="af1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br/>
                <w:t> внесеними згідно із Законом України від 17.06.2020 р. N 711-IX)</w:t>
              </w:r>
            </w:hyperlink>
          </w:p>
          <w:p w14:paraId="25D99561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укладених договорів між юридичними чи фізичними особами (землевласниками і землекористувачами) та розробниками документації із землеустрою;</w:t>
            </w:r>
          </w:p>
          <w:p w14:paraId="27447744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судових рішень.</w:t>
            </w:r>
          </w:p>
          <w:p w14:paraId="08A03B0E" w14:textId="77777777" w:rsidR="009465D9" w:rsidRPr="006C59BB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5D9" w:rsidRPr="006C59BB" w14:paraId="05AC4980" w14:textId="77777777" w:rsidTr="00380A1B">
        <w:trPr>
          <w:jc w:val="center"/>
        </w:trPr>
        <w:tc>
          <w:tcPr>
            <w:tcW w:w="524" w:type="dxa"/>
          </w:tcPr>
          <w:p w14:paraId="3A35DD52" w14:textId="397992B9" w:rsidR="009465D9" w:rsidRPr="006C59BB" w:rsidRDefault="000922AD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7" w:type="dxa"/>
          </w:tcPr>
          <w:p w14:paraId="3F7852EE" w14:textId="77777777" w:rsidR="009465D9" w:rsidRPr="006C59BB" w:rsidRDefault="00401859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Податкове законодавство</w:t>
            </w:r>
          </w:p>
        </w:tc>
        <w:tc>
          <w:tcPr>
            <w:tcW w:w="1869" w:type="dxa"/>
          </w:tcPr>
          <w:p w14:paraId="06123A86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45BD3CA" w14:textId="77777777" w:rsidR="009465D9" w:rsidRPr="006C59BB" w:rsidRDefault="00F15820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Рішення </w:t>
            </w:r>
            <w:r w:rsidRPr="00F15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ів</w:t>
            </w:r>
            <w:r w:rsidRPr="00F15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місцевого самоврядування</w:t>
            </w:r>
          </w:p>
        </w:tc>
        <w:tc>
          <w:tcPr>
            <w:tcW w:w="2245" w:type="dxa"/>
          </w:tcPr>
          <w:p w14:paraId="51D8AD32" w14:textId="77777777" w:rsidR="00F15820" w:rsidRDefault="00F15820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Податковий кодекс</w:t>
            </w:r>
          </w:p>
          <w:p w14:paraId="00793594" w14:textId="77777777" w:rsidR="009465D9" w:rsidRDefault="009465D9" w:rsidP="009465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Стаття 288</w:t>
            </w:r>
          </w:p>
          <w:p w14:paraId="45091D25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Частина 288.5.2.</w:t>
            </w:r>
          </w:p>
        </w:tc>
        <w:tc>
          <w:tcPr>
            <w:tcW w:w="2799" w:type="dxa"/>
          </w:tcPr>
          <w:p w14:paraId="09AFFEFF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Наразі органи місцевого самоврядування встановлюють відсоток від НГО для визначення орендної плати. Якщо не буде рішення органу місцевого самоврядування, пропонуємо встановити сталий відсоток від НГО для визначення орендної плати, а саме 12%.</w:t>
            </w:r>
          </w:p>
        </w:tc>
        <w:tc>
          <w:tcPr>
            <w:tcW w:w="4420" w:type="dxa"/>
          </w:tcPr>
          <w:p w14:paraId="3FD62074" w14:textId="77777777" w:rsidR="009465D9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288.5.2.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може перевищувати 12 відсотків </w:t>
            </w:r>
            <w:hyperlink r:id="rId18" w:tgtFrame="_blank" w:history="1">
              <w:r>
                <w:rPr>
                  <w:rStyle w:val="af1"/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нормативної грошової оцінки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14A7D53D" w14:textId="77777777" w:rsidR="009465D9" w:rsidRPr="006C59BB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розгортання електронних комунікаційних мереж – 12 відсотків нормативної грошової оцінки;</w:t>
            </w:r>
          </w:p>
        </w:tc>
      </w:tr>
      <w:tr w:rsidR="009465D9" w:rsidRPr="006C59BB" w14:paraId="43F27913" w14:textId="77777777" w:rsidTr="00380A1B">
        <w:trPr>
          <w:jc w:val="center"/>
        </w:trPr>
        <w:tc>
          <w:tcPr>
            <w:tcW w:w="524" w:type="dxa"/>
          </w:tcPr>
          <w:p w14:paraId="3D8C59CA" w14:textId="2905D899" w:rsidR="009465D9" w:rsidRPr="006C59BB" w:rsidRDefault="000922AD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65D9" w:rsidRPr="006C5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14:paraId="4C5D6D41" w14:textId="77777777" w:rsidR="009465D9" w:rsidRPr="006C59BB" w:rsidRDefault="009465D9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Державні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будівельні норми</w:t>
            </w:r>
          </w:p>
        </w:tc>
        <w:tc>
          <w:tcPr>
            <w:tcW w:w="1869" w:type="dxa"/>
          </w:tcPr>
          <w:p w14:paraId="37352C68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зобов’язання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встановлювати систему пожежної сигналізації на певних видах об’єктів та засобів ЕК, а також систему пожежогасіння у приміщеннях базових станцій мобільного зв’язку, розміщених у різних типах будівель</w:t>
            </w:r>
          </w:p>
        </w:tc>
        <w:tc>
          <w:tcPr>
            <w:tcW w:w="1874" w:type="dxa"/>
          </w:tcPr>
          <w:p w14:paraId="0DF56ACD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9BB">
              <w:rPr>
                <w:rFonts w:ascii="Times New Roman" w:hAnsi="Times New Roman"/>
                <w:sz w:val="24"/>
                <w:szCs w:val="24"/>
              </w:rPr>
              <w:lastRenderedPageBreak/>
              <w:t>Мінрозвитку</w:t>
            </w:r>
            <w:proofErr w:type="spellEnd"/>
            <w:r w:rsidRPr="006C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9BB">
              <w:rPr>
                <w:rFonts w:ascii="Times New Roman" w:hAnsi="Times New Roman"/>
                <w:sz w:val="24"/>
                <w:szCs w:val="24"/>
              </w:rPr>
              <w:lastRenderedPageBreak/>
              <w:t>ДСНС</w:t>
            </w:r>
          </w:p>
          <w:p w14:paraId="1B0EE5DC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594E2EB" w14:textId="77777777" w:rsidR="009465D9" w:rsidRPr="006C59BB" w:rsidRDefault="009465D9" w:rsidP="00946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ДБН В.2.5-56:2014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«Системи протипожежного захисту»</w:t>
            </w:r>
          </w:p>
        </w:tc>
        <w:tc>
          <w:tcPr>
            <w:tcW w:w="2799" w:type="dxa"/>
          </w:tcPr>
          <w:p w14:paraId="5BD21B79" w14:textId="77777777" w:rsidR="009465D9" w:rsidRPr="006C59BB" w:rsidRDefault="009465D9" w:rsidP="00946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Норми чинних ДБН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В.2.5-56:2014 «Системи протипожежного захисту» зобов’язують встановлювати систему пожежної сигналізації на певних видах об’єктів та засобів ЕК, а також систему пожежогасіння у приміщеннях базових станцій мобільного зв’язку, розміщених у різних типах будівель.</w:t>
            </w:r>
          </w:p>
          <w:p w14:paraId="2674E373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Зазначені вимоги були запозичені з нормативного документу 2005 року, який вже скасований через застарілість. При цьому ні вимоги з нормативного документу 2005 року, ні вимоги чинних ДБН В.2.5-56:2014 не ґрунтуються на жодних дослідженнях, оскільки таких досліджень із застосуванням об’єктів ЕК ніхто в Україні не проводив. Ці вимоги є надмірними та необґрунтованими, а також суперечать чинним Правилам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пожежної безпеки у галузі зв’язку і створюють додаткове регуляторне і фінансове навантаження на операторів ЕК. А це в свою чергу відбивається на вартості електронних комунікаційних послуг для абонентів.</w:t>
            </w:r>
          </w:p>
        </w:tc>
        <w:tc>
          <w:tcPr>
            <w:tcW w:w="4420" w:type="dxa"/>
          </w:tcPr>
          <w:p w14:paraId="6D467B3B" w14:textId="77777777" w:rsidR="009465D9" w:rsidRPr="006C59BB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Привести норми ДБН В.2.5-56:2014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«Системи протипожежного захисту» у відповідність до чинних Правил пожежної безпеки у галузі зв’язку затверджених Наказом МВС від 30.03.2016  № 239/229.</w:t>
            </w:r>
          </w:p>
        </w:tc>
      </w:tr>
      <w:tr w:rsidR="009465D9" w:rsidRPr="006C59BB" w14:paraId="05C58130" w14:textId="77777777" w:rsidTr="00380A1B">
        <w:trPr>
          <w:jc w:val="center"/>
        </w:trPr>
        <w:tc>
          <w:tcPr>
            <w:tcW w:w="524" w:type="dxa"/>
          </w:tcPr>
          <w:p w14:paraId="481BA472" w14:textId="70C1116D" w:rsidR="009465D9" w:rsidRPr="006C59BB" w:rsidRDefault="000922AD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451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14:paraId="67807B62" w14:textId="77777777" w:rsidR="009465D9" w:rsidRPr="006C59BB" w:rsidRDefault="009465D9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Електронні комунікації</w:t>
            </w:r>
          </w:p>
        </w:tc>
        <w:tc>
          <w:tcPr>
            <w:tcW w:w="1869" w:type="dxa"/>
          </w:tcPr>
          <w:p w14:paraId="470A53DD" w14:textId="77777777" w:rsidR="009465D9" w:rsidRPr="006C59BB" w:rsidRDefault="009465D9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Перевірка умов ліцензій на користування радіочастотним спектром</w:t>
            </w:r>
          </w:p>
        </w:tc>
        <w:tc>
          <w:tcPr>
            <w:tcW w:w="1874" w:type="dxa"/>
          </w:tcPr>
          <w:p w14:paraId="72402963" w14:textId="77777777" w:rsidR="009465D9" w:rsidRPr="006C59BB" w:rsidRDefault="009465D9" w:rsidP="0094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Національна комісія, що здійснює державне регулювання у сферах електронних комунікацій, радіочастотного спектра та надання послуг поштового зв’язку</w:t>
            </w:r>
            <w:r w:rsidRPr="006C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2280AE95" w14:textId="77777777" w:rsidR="009465D9" w:rsidRPr="006C59BB" w:rsidRDefault="009465D9" w:rsidP="009465D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 України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«Про електронні комунікації»</w:t>
            </w:r>
          </w:p>
          <w:p w14:paraId="3DB64818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F8A2E1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14:paraId="218D4345" w14:textId="77777777" w:rsidR="009465D9" w:rsidRPr="006C59BB" w:rsidRDefault="009465D9" w:rsidP="009465D9">
            <w:pPr>
              <w:numPr>
                <w:ilvl w:val="0"/>
                <w:numId w:val="3"/>
              </w:numPr>
              <w:tabs>
                <w:tab w:val="left" w:pos="298"/>
              </w:tabs>
              <w:ind w:left="0" w:hanging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умовах воєнного стану  повноцінне виконання  умов ліцензій, які розроблялися для мирного періоду, є або фізично неможливим, або вимагає залучення істотних ресурсів, у </w:t>
            </w:r>
            <w:proofErr w:type="spellStart"/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людських, якими оператори наразі не володіють.</w:t>
            </w:r>
          </w:p>
          <w:p w14:paraId="435A6404" w14:textId="77777777" w:rsidR="009465D9" w:rsidRPr="006C59BB" w:rsidRDefault="009465D9" w:rsidP="009465D9">
            <w:pPr>
              <w:numPr>
                <w:ilvl w:val="0"/>
                <w:numId w:val="3"/>
              </w:numPr>
              <w:tabs>
                <w:tab w:val="left" w:pos="298"/>
              </w:tabs>
              <w:ind w:left="-11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Пріоритет – забезпечення зв’язку, а не формальний контроль. </w:t>
            </w:r>
          </w:p>
          <w:p w14:paraId="7DBBBEE6" w14:textId="77777777" w:rsidR="009465D9" w:rsidRPr="006C59BB" w:rsidRDefault="009465D9" w:rsidP="009465D9">
            <w:pPr>
              <w:pStyle w:val="af"/>
            </w:pPr>
            <w:r w:rsidRPr="006C59BB">
              <w:t xml:space="preserve">У поточних умовах держава, бізнес і суспільство очікують від операторів мобільного </w:t>
            </w:r>
            <w:r w:rsidRPr="006C59BB">
              <w:lastRenderedPageBreak/>
              <w:t>та фіксованого зв’язку:</w:t>
            </w:r>
          </w:p>
          <w:p w14:paraId="26976868" w14:textId="77777777" w:rsidR="009465D9" w:rsidRPr="006C59BB" w:rsidRDefault="009465D9" w:rsidP="009465D9">
            <w:pPr>
              <w:pStyle w:val="af"/>
            </w:pPr>
            <w:r w:rsidRPr="006C59BB">
              <w:t>Безперебійного надання послуг навіть за відсутності електроживлення.</w:t>
            </w:r>
          </w:p>
          <w:p w14:paraId="198D1229" w14:textId="77777777" w:rsidR="009465D9" w:rsidRPr="006C59BB" w:rsidRDefault="009465D9" w:rsidP="009465D9">
            <w:pPr>
              <w:pStyle w:val="af"/>
            </w:pPr>
            <w:r w:rsidRPr="006C59BB">
              <w:t>Відновлення пошкоджених мереж у найкоротші строки.</w:t>
            </w:r>
          </w:p>
          <w:p w14:paraId="53FE6118" w14:textId="77777777" w:rsidR="009465D9" w:rsidRPr="006C59BB" w:rsidRDefault="009465D9" w:rsidP="009465D9">
            <w:pPr>
              <w:numPr>
                <w:ilvl w:val="0"/>
                <w:numId w:val="3"/>
              </w:numPr>
              <w:tabs>
                <w:tab w:val="left" w:pos="298"/>
              </w:tabs>
              <w:ind w:left="-11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Відповідність підходу загальній політиці уряду.</w:t>
            </w:r>
          </w:p>
          <w:p w14:paraId="60DFCA61" w14:textId="77777777" w:rsidR="009465D9" w:rsidRPr="006C59BB" w:rsidRDefault="009465D9" w:rsidP="009465D9">
            <w:pPr>
              <w:tabs>
                <w:tab w:val="left" w:pos="29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Президент України, РНБО та Кабінет Міністрів неодноразово заявляли про необхідність </w:t>
            </w:r>
            <w:r w:rsidRPr="006C59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мінімізації тиску на бізнес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 час воєнного стану, зокрема шляхом:</w:t>
            </w:r>
          </w:p>
          <w:p w14:paraId="0463E454" w14:textId="77777777" w:rsidR="009465D9" w:rsidRPr="006C59BB" w:rsidRDefault="009465D9" w:rsidP="009465D9">
            <w:pPr>
              <w:numPr>
                <w:ilvl w:val="0"/>
                <w:numId w:val="4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обмеження контролюючих заходів,</w:t>
            </w:r>
          </w:p>
          <w:p w14:paraId="073B0C03" w14:textId="77777777" w:rsidR="009465D9" w:rsidRPr="006C59BB" w:rsidRDefault="009465D9" w:rsidP="009465D9">
            <w:pPr>
              <w:numPr>
                <w:ilvl w:val="0"/>
                <w:numId w:val="4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запровадження податкових пільг,</w:t>
            </w:r>
          </w:p>
          <w:p w14:paraId="7F4889FB" w14:textId="77777777" w:rsidR="009465D9" w:rsidRPr="006C59BB" w:rsidRDefault="009465D9" w:rsidP="009465D9">
            <w:pPr>
              <w:numPr>
                <w:ilvl w:val="0"/>
                <w:numId w:val="4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дерегуляції,</w:t>
            </w:r>
          </w:p>
          <w:p w14:paraId="1CE2598C" w14:textId="77777777" w:rsidR="009465D9" w:rsidRPr="006C59BB" w:rsidRDefault="009465D9" w:rsidP="009465D9">
            <w:pPr>
              <w:numPr>
                <w:ilvl w:val="0"/>
                <w:numId w:val="4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зменшення бюрократичного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навантаження.</w:t>
            </w:r>
          </w:p>
          <w:p w14:paraId="329210F9" w14:textId="77777777" w:rsidR="009465D9" w:rsidRPr="006C59BB" w:rsidRDefault="009465D9" w:rsidP="00946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Виключення перевірок виконання ліцензійних умов зі сфери нагляду повністю відповідає цій державній політиці.</w:t>
            </w:r>
          </w:p>
        </w:tc>
        <w:tc>
          <w:tcPr>
            <w:tcW w:w="4420" w:type="dxa"/>
          </w:tcPr>
          <w:p w14:paraId="28A1F461" w14:textId="77777777" w:rsidR="009465D9" w:rsidRPr="006C59BB" w:rsidRDefault="009465D9" w:rsidP="009465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Внести зміну до постанови Кабінету Міністрів України від 13 березня 2022 р. </w:t>
            </w:r>
            <w:hyperlink r:id="rId19" w:tgtFrame="_blank" w:history="1">
              <w:r w:rsidRPr="006C59BB">
                <w:rPr>
                  <w:rStyle w:val="af1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 303</w:t>
              </w:r>
            </w:hyperlink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“Про припинення заходів державного нагляду (контролю) і державного ринкового нагляду в умовах воєнного стану” (Офіційний вісник України, 2022 р., № 25, ст. 1355; 2023 р., № 79, ст. 4495), виклавши пункт 6 в наступній редакції: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“6. Заходи державного нагляду (контролю) за додержанням законодавства у сферах електронних </w:t>
            </w:r>
            <w:r w:rsidRPr="000A6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комунікацій, радіочастотного спектра та надання послуг поштового зв’язку, </w:t>
            </w:r>
            <w:r w:rsidRPr="000A6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винятком перевірок виконання умов ліцензій на користування радіочастотним спектром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здійснюються протягом періоду воєнного стану за рішенням Національної комісії, що здійснює державне регулювання у сферах електронних комунікацій, </w:t>
            </w:r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радіочастотного спектра та надання послуг поштового зв’язку, в установленому </w:t>
            </w:r>
            <w:hyperlink r:id="rId20" w:tgtFrame="_blank" w:history="1">
              <w:r w:rsidRPr="006C59BB">
                <w:rPr>
                  <w:rStyle w:val="af1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 України</w:t>
              </w:r>
            </w:hyperlink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“Про основні засади державного нагляду (контролю) у сфері господарської діяльності” порядку з урахуванням особливостей, визначених Законами України </w:t>
            </w:r>
            <w:hyperlink r:id="rId21" w:tgtFrame="_blank" w:history="1">
              <w:r w:rsidRPr="006C59BB">
                <w:rPr>
                  <w:rStyle w:val="af1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“Про електронні комунікації”</w:t>
              </w:r>
            </w:hyperlink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 </w:t>
            </w:r>
            <w:hyperlink r:id="rId22" w:tgtFrame="_blank" w:history="1">
              <w:r w:rsidRPr="006C59BB">
                <w:rPr>
                  <w:rStyle w:val="af1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“Про поштовий зв’язок”</w:t>
              </w:r>
            </w:hyperlink>
            <w:r w:rsidRPr="006C5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.”</w:t>
            </w:r>
          </w:p>
          <w:p w14:paraId="6828F17F" w14:textId="77777777" w:rsidR="009465D9" w:rsidRPr="006C59BB" w:rsidRDefault="009465D9" w:rsidP="00946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2E1402" w14:textId="77777777" w:rsidR="0075721C" w:rsidRPr="00041503" w:rsidRDefault="0075721C" w:rsidP="007049B6">
      <w:pPr>
        <w:pStyle w:val="a9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28C70" w14:textId="77777777" w:rsidR="008547B7" w:rsidRDefault="008547B7" w:rsidP="004F25B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547B7" w:rsidSect="000659F2">
      <w:pgSz w:w="16838" w:h="11906" w:orient="landscape"/>
      <w:pgMar w:top="1134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2AB6"/>
    <w:multiLevelType w:val="hybridMultilevel"/>
    <w:tmpl w:val="447CBA16"/>
    <w:lvl w:ilvl="0" w:tplc="5358A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0521"/>
    <w:multiLevelType w:val="hybridMultilevel"/>
    <w:tmpl w:val="74AC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7E1F"/>
    <w:multiLevelType w:val="hybridMultilevel"/>
    <w:tmpl w:val="99A611CE"/>
    <w:lvl w:ilvl="0" w:tplc="6E2CEA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1AFA"/>
    <w:multiLevelType w:val="multilevel"/>
    <w:tmpl w:val="583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335428">
    <w:abstractNumId w:val="1"/>
  </w:num>
  <w:num w:numId="2" w16cid:durableId="351031892">
    <w:abstractNumId w:val="0"/>
  </w:num>
  <w:num w:numId="3" w16cid:durableId="963920896">
    <w:abstractNumId w:val="2"/>
  </w:num>
  <w:num w:numId="4" w16cid:durableId="196511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D"/>
    <w:rsid w:val="00041503"/>
    <w:rsid w:val="000565CB"/>
    <w:rsid w:val="000659F2"/>
    <w:rsid w:val="00072243"/>
    <w:rsid w:val="000922AD"/>
    <w:rsid w:val="00096E96"/>
    <w:rsid w:val="000A6409"/>
    <w:rsid w:val="000D5746"/>
    <w:rsid w:val="000D587E"/>
    <w:rsid w:val="0011130F"/>
    <w:rsid w:val="001624E7"/>
    <w:rsid w:val="001B2C87"/>
    <w:rsid w:val="001E1291"/>
    <w:rsid w:val="001E3E8D"/>
    <w:rsid w:val="00202A2F"/>
    <w:rsid w:val="002518F1"/>
    <w:rsid w:val="002653BD"/>
    <w:rsid w:val="00292DA3"/>
    <w:rsid w:val="002F307C"/>
    <w:rsid w:val="003547B6"/>
    <w:rsid w:val="00356061"/>
    <w:rsid w:val="00380A1B"/>
    <w:rsid w:val="00397164"/>
    <w:rsid w:val="00401859"/>
    <w:rsid w:val="00401DCD"/>
    <w:rsid w:val="00432866"/>
    <w:rsid w:val="004332FA"/>
    <w:rsid w:val="004435D7"/>
    <w:rsid w:val="00444A2B"/>
    <w:rsid w:val="00450D9B"/>
    <w:rsid w:val="004C40FD"/>
    <w:rsid w:val="004E466D"/>
    <w:rsid w:val="004E7AE5"/>
    <w:rsid w:val="004F25BD"/>
    <w:rsid w:val="00502BF0"/>
    <w:rsid w:val="00511953"/>
    <w:rsid w:val="0056252E"/>
    <w:rsid w:val="005A61D4"/>
    <w:rsid w:val="005B437E"/>
    <w:rsid w:val="00614939"/>
    <w:rsid w:val="006323E6"/>
    <w:rsid w:val="00661D8E"/>
    <w:rsid w:val="00673B9D"/>
    <w:rsid w:val="006775F8"/>
    <w:rsid w:val="006A4F02"/>
    <w:rsid w:val="006C59BB"/>
    <w:rsid w:val="006F035E"/>
    <w:rsid w:val="007049B6"/>
    <w:rsid w:val="007513C5"/>
    <w:rsid w:val="0075721C"/>
    <w:rsid w:val="00783718"/>
    <w:rsid w:val="0079510B"/>
    <w:rsid w:val="008012DA"/>
    <w:rsid w:val="00810419"/>
    <w:rsid w:val="008547B7"/>
    <w:rsid w:val="0087478B"/>
    <w:rsid w:val="00884B96"/>
    <w:rsid w:val="00894ADB"/>
    <w:rsid w:val="0093455A"/>
    <w:rsid w:val="00936C57"/>
    <w:rsid w:val="009465D9"/>
    <w:rsid w:val="00987CBF"/>
    <w:rsid w:val="009A601D"/>
    <w:rsid w:val="009A7D53"/>
    <w:rsid w:val="009F08D9"/>
    <w:rsid w:val="00A15925"/>
    <w:rsid w:val="00A16096"/>
    <w:rsid w:val="00A65C4E"/>
    <w:rsid w:val="00AE5664"/>
    <w:rsid w:val="00B02648"/>
    <w:rsid w:val="00B06AF3"/>
    <w:rsid w:val="00B31BAA"/>
    <w:rsid w:val="00B4476A"/>
    <w:rsid w:val="00B45185"/>
    <w:rsid w:val="00B54C30"/>
    <w:rsid w:val="00B6107B"/>
    <w:rsid w:val="00B70EBE"/>
    <w:rsid w:val="00B85FF5"/>
    <w:rsid w:val="00B90485"/>
    <w:rsid w:val="00BB3E8D"/>
    <w:rsid w:val="00C07D15"/>
    <w:rsid w:val="00C22074"/>
    <w:rsid w:val="00C23C59"/>
    <w:rsid w:val="00C243E9"/>
    <w:rsid w:val="00C31D1C"/>
    <w:rsid w:val="00C43353"/>
    <w:rsid w:val="00CA4DF8"/>
    <w:rsid w:val="00CB29FD"/>
    <w:rsid w:val="00CE0BFC"/>
    <w:rsid w:val="00D53CE1"/>
    <w:rsid w:val="00D635B7"/>
    <w:rsid w:val="00D6685C"/>
    <w:rsid w:val="00D6772E"/>
    <w:rsid w:val="00D72897"/>
    <w:rsid w:val="00D72D9A"/>
    <w:rsid w:val="00DE4AAF"/>
    <w:rsid w:val="00DE5F1F"/>
    <w:rsid w:val="00E512F3"/>
    <w:rsid w:val="00E838A3"/>
    <w:rsid w:val="00E86C37"/>
    <w:rsid w:val="00F15820"/>
    <w:rsid w:val="00F37905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E8DD"/>
  <w15:chartTrackingRefBased/>
  <w15:docId w15:val="{8680F0FE-B2B3-4177-B442-7A7706F8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3B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B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BD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BD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BD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B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B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B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B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3BD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653B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653BD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653BD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2653BD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2653BD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653BD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653BD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653BD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653BD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link w:val="a3"/>
    <w:uiPriority w:val="10"/>
    <w:rsid w:val="002653B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B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ідзаголовок Знак"/>
    <w:link w:val="a5"/>
    <w:uiPriority w:val="11"/>
    <w:rsid w:val="002653BD"/>
    <w:rPr>
      <w:rFonts w:eastAsia="Times New Roman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BD"/>
    <w:pPr>
      <w:spacing w:before="160"/>
      <w:jc w:val="center"/>
    </w:pPr>
    <w:rPr>
      <w:i/>
      <w:iCs/>
      <w:color w:val="404040"/>
    </w:rPr>
  </w:style>
  <w:style w:type="character" w:customStyle="1" w:styleId="a8">
    <w:name w:val="Цитата Знак"/>
    <w:link w:val="a7"/>
    <w:uiPriority w:val="29"/>
    <w:rsid w:val="002653BD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2653BD"/>
    <w:pPr>
      <w:ind w:left="720"/>
      <w:contextualSpacing/>
    </w:pPr>
  </w:style>
  <w:style w:type="character" w:styleId="aa">
    <w:name w:val="Intense Emphasis"/>
    <w:uiPriority w:val="21"/>
    <w:qFormat/>
    <w:rsid w:val="002653BD"/>
    <w:rPr>
      <w:i/>
      <w:iCs/>
      <w:color w:val="2F5496"/>
    </w:rPr>
  </w:style>
  <w:style w:type="paragraph" w:styleId="ab">
    <w:name w:val="Intense Quote"/>
    <w:basedOn w:val="a"/>
    <w:next w:val="a"/>
    <w:link w:val="ac"/>
    <w:uiPriority w:val="30"/>
    <w:qFormat/>
    <w:rsid w:val="002653B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c">
    <w:name w:val="Насичена цитата Знак"/>
    <w:link w:val="ab"/>
    <w:uiPriority w:val="30"/>
    <w:rsid w:val="002653BD"/>
    <w:rPr>
      <w:i/>
      <w:iCs/>
      <w:color w:val="2F5496"/>
    </w:rPr>
  </w:style>
  <w:style w:type="character" w:styleId="ad">
    <w:name w:val="Intense Reference"/>
    <w:uiPriority w:val="32"/>
    <w:qFormat/>
    <w:rsid w:val="002653BD"/>
    <w:rPr>
      <w:b/>
      <w:bCs/>
      <w:smallCaps/>
      <w:color w:val="2F5496"/>
      <w:spacing w:val="5"/>
    </w:rPr>
  </w:style>
  <w:style w:type="table" w:styleId="ae">
    <w:name w:val="Table Grid"/>
    <w:basedOn w:val="a1"/>
    <w:uiPriority w:val="39"/>
    <w:rsid w:val="0026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0D57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styleId="af0">
    <w:name w:val="Strong"/>
    <w:uiPriority w:val="22"/>
    <w:qFormat/>
    <w:rsid w:val="000D5746"/>
    <w:rPr>
      <w:b/>
      <w:bCs/>
    </w:rPr>
  </w:style>
  <w:style w:type="character" w:styleId="af1">
    <w:name w:val="Hyperlink"/>
    <w:uiPriority w:val="99"/>
    <w:unhideWhenUsed/>
    <w:rsid w:val="00894AD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T080309?ed=2008_06_03&amp;an=179" TargetMode="External"/><Relationship Id="rId13" Type="http://schemas.openxmlformats.org/officeDocument/2006/relationships/hyperlink" Target="https://zakon-pro.ligazakon.net/document/T130366?ed=2013_07_02&amp;an=25" TargetMode="External"/><Relationship Id="rId18" Type="http://schemas.openxmlformats.org/officeDocument/2006/relationships/hyperlink" Target="https://zakon-pro.ligazakon.net/document/T10_2755?an=11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089-20" TargetMode="External"/><Relationship Id="rId7" Type="http://schemas.openxmlformats.org/officeDocument/2006/relationships/hyperlink" Target="https://zakon-pro.ligazakon.net/document/T012768?an=453" TargetMode="External"/><Relationship Id="rId12" Type="http://schemas.openxmlformats.org/officeDocument/2006/relationships/hyperlink" Target="https://zakon-pro.ligazakon.net/document/T080309?ed=2008_06_03&amp;an=179" TargetMode="External"/><Relationship Id="rId17" Type="http://schemas.openxmlformats.org/officeDocument/2006/relationships/hyperlink" Target="https://zakon-pro.ligazakon.net/document/T200711?ed=2020_06_17&amp;an=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-pro.ligazakon.net/document/T200711?ed=2020_06_17&amp;an=149" TargetMode="External"/><Relationship Id="rId20" Type="http://schemas.openxmlformats.org/officeDocument/2006/relationships/hyperlink" Target="https://zakon.rada.gov.ua/laws/show/877-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-pro.ligazakon.net/document/T080309?ed=2008_06_03&amp;an=179" TargetMode="External"/><Relationship Id="rId11" Type="http://schemas.openxmlformats.org/officeDocument/2006/relationships/hyperlink" Target="https://zakon-pro.ligazakon.net/document/T080509?ed=2008_09_16&amp;an=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-pro.ligazakon.net/document/T130366?ed=2013_07_02&amp;an=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-pro.ligazakon.net/document/T080309?ed=2008_06_03&amp;an=179" TargetMode="External"/><Relationship Id="rId19" Type="http://schemas.openxmlformats.org/officeDocument/2006/relationships/hyperlink" Target="https://zakon.rada.gov.ua/laws/show/303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-pro.ligazakon.net/document/Z970280?an=50" TargetMode="External"/><Relationship Id="rId14" Type="http://schemas.openxmlformats.org/officeDocument/2006/relationships/hyperlink" Target="https://zakon-pro.ligazakon.net/document/T113613?ed=2013_05_14" TargetMode="External"/><Relationship Id="rId22" Type="http://schemas.openxmlformats.org/officeDocument/2006/relationships/hyperlink" Target="https://zakon.rada.gov.ua/laws/show/2722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6DCC-76CA-4972-9756-21B9EA35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5985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Links>
    <vt:vector size="102" baseType="variant">
      <vt:variant>
        <vt:i4>7077921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https://zakon.rada.gov.ua/laws/show/2722-20</vt:lpwstr>
      </vt:variant>
      <vt:variant>
        <vt:lpwstr/>
      </vt:variant>
      <vt:variant>
        <vt:i4>6291496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https://zakon.rada.gov.ua/laws/show/1089-20</vt:lpwstr>
      </vt:variant>
      <vt:variant>
        <vt:lpwstr/>
      </vt:variant>
      <vt:variant>
        <vt:i4>7798834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https://zakon.rada.gov.ua/laws/show/877-16</vt:lpwstr>
      </vt:variant>
      <vt:variant>
        <vt:lpwstr/>
      </vt:variant>
      <vt:variant>
        <vt:i4>3342432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https://zakon.rada.gov.ua/laws/show/303-2022-%D0%BF</vt:lpwstr>
      </vt:variant>
      <vt:variant>
        <vt:lpwstr/>
      </vt:variant>
      <vt:variant>
        <vt:i4>2097236</vt:i4>
      </vt:variant>
      <vt:variant>
        <vt:i4>36</vt:i4>
      </vt:variant>
      <vt:variant>
        <vt:i4>0</vt:i4>
      </vt:variant>
      <vt:variant>
        <vt:i4>5</vt:i4>
      </vt:variant>
      <vt:variant>
        <vt:lpwstr>https://zakon-pro.ligazakon.net/document/T10_2755?an=11004</vt:lpwstr>
      </vt:variant>
      <vt:variant>
        <vt:lpwstr/>
      </vt:variant>
      <vt:variant>
        <vt:i4>2949164</vt:i4>
      </vt:variant>
      <vt:variant>
        <vt:i4>33</vt:i4>
      </vt:variant>
      <vt:variant>
        <vt:i4>0</vt:i4>
      </vt:variant>
      <vt:variant>
        <vt:i4>5</vt:i4>
      </vt:variant>
      <vt:variant>
        <vt:lpwstr>https://zakon-pro.ligazakon.net/document/T200711?ed=2020_06_17&amp;an=149</vt:lpwstr>
      </vt:variant>
      <vt:variant>
        <vt:lpwstr/>
      </vt:variant>
      <vt:variant>
        <vt:i4>2949164</vt:i4>
      </vt:variant>
      <vt:variant>
        <vt:i4>30</vt:i4>
      </vt:variant>
      <vt:variant>
        <vt:i4>0</vt:i4>
      </vt:variant>
      <vt:variant>
        <vt:i4>5</vt:i4>
      </vt:variant>
      <vt:variant>
        <vt:lpwstr>https://zakon-pro.ligazakon.net/document/T200711?ed=2020_06_17&amp;an=149</vt:lpwstr>
      </vt:variant>
      <vt:variant>
        <vt:lpwstr/>
      </vt:variant>
      <vt:variant>
        <vt:i4>2752552</vt:i4>
      </vt:variant>
      <vt:variant>
        <vt:i4>27</vt:i4>
      </vt:variant>
      <vt:variant>
        <vt:i4>0</vt:i4>
      </vt:variant>
      <vt:variant>
        <vt:i4>5</vt:i4>
      </vt:variant>
      <vt:variant>
        <vt:lpwstr>https://zakon-pro.ligazakon.net/document/T130366?ed=2013_07_02&amp;an=25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https://zakon-pro.ligazakon.net/document/T113613?ed=2013_05_14</vt:lpwstr>
      </vt:variant>
      <vt:variant>
        <vt:lpwstr/>
      </vt:variant>
      <vt:variant>
        <vt:i4>2752552</vt:i4>
      </vt:variant>
      <vt:variant>
        <vt:i4>21</vt:i4>
      </vt:variant>
      <vt:variant>
        <vt:i4>0</vt:i4>
      </vt:variant>
      <vt:variant>
        <vt:i4>5</vt:i4>
      </vt:variant>
      <vt:variant>
        <vt:lpwstr>https://zakon-pro.ligazakon.net/document/T130366?ed=2013_07_02&amp;an=25</vt:lpwstr>
      </vt:variant>
      <vt:variant>
        <vt:lpwstr/>
      </vt:variant>
      <vt:variant>
        <vt:i4>2490412</vt:i4>
      </vt:variant>
      <vt:variant>
        <vt:i4>18</vt:i4>
      </vt:variant>
      <vt:variant>
        <vt:i4>0</vt:i4>
      </vt:variant>
      <vt:variant>
        <vt:i4>5</vt:i4>
      </vt:variant>
      <vt:variant>
        <vt:lpwstr>https://zakon-pro.ligazakon.net/document/T080309?ed=2008_06_03&amp;an=179</vt:lpwstr>
      </vt:variant>
      <vt:variant>
        <vt:lpwstr/>
      </vt:variant>
      <vt:variant>
        <vt:i4>2228257</vt:i4>
      </vt:variant>
      <vt:variant>
        <vt:i4>15</vt:i4>
      </vt:variant>
      <vt:variant>
        <vt:i4>0</vt:i4>
      </vt:variant>
      <vt:variant>
        <vt:i4>5</vt:i4>
      </vt:variant>
      <vt:variant>
        <vt:lpwstr>https://zakon-pro.ligazakon.net/document/T080509?ed=2008_09_16&amp;an=20</vt:lpwstr>
      </vt:variant>
      <vt:variant>
        <vt:lpwstr/>
      </vt:variant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https://zakon-pro.ligazakon.net/document/T080309?ed=2008_06_03&amp;an=179</vt:lpwstr>
      </vt:variant>
      <vt:variant>
        <vt:lpwstr/>
      </vt:variant>
      <vt:variant>
        <vt:i4>2359344</vt:i4>
      </vt:variant>
      <vt:variant>
        <vt:i4>9</vt:i4>
      </vt:variant>
      <vt:variant>
        <vt:i4>0</vt:i4>
      </vt:variant>
      <vt:variant>
        <vt:i4>5</vt:i4>
      </vt:variant>
      <vt:variant>
        <vt:lpwstr>https://zakon-pro.ligazakon.net/document/Z970280?an=50</vt:lpwstr>
      </vt:variant>
      <vt:variant>
        <vt:lpwstr/>
      </vt:variant>
      <vt:variant>
        <vt:i4>2490412</vt:i4>
      </vt:variant>
      <vt:variant>
        <vt:i4>6</vt:i4>
      </vt:variant>
      <vt:variant>
        <vt:i4>0</vt:i4>
      </vt:variant>
      <vt:variant>
        <vt:i4>5</vt:i4>
      </vt:variant>
      <vt:variant>
        <vt:lpwstr>https://zakon-pro.ligazakon.net/document/T080309?ed=2008_06_03&amp;an=179</vt:lpwstr>
      </vt:variant>
      <vt:variant>
        <vt:lpwstr/>
      </vt:variant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https://zakon-pro.ligazakon.net/document/T012768?an=453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https://zakon-pro.ligazakon.net/document/T080309?ed=2008_06_03&amp;an=179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Марина Пригорницька</cp:lastModifiedBy>
  <cp:revision>2</cp:revision>
  <cp:lastPrinted>2025-07-28T14:00:00Z</cp:lastPrinted>
  <dcterms:created xsi:type="dcterms:W3CDTF">2025-08-08T06:53:00Z</dcterms:created>
  <dcterms:modified xsi:type="dcterms:W3CDTF">2025-08-08T06:53:00Z</dcterms:modified>
</cp:coreProperties>
</file>