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B5BC" w14:textId="475B4299" w:rsidR="001E3956" w:rsidRPr="001E3956" w:rsidRDefault="001E3956" w:rsidP="001E3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до листа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Телекомпалати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України від 19.05.2023 р. № 2768</w:t>
      </w:r>
    </w:p>
    <w:p w14:paraId="6220A65A" w14:textId="4C8407E5" w:rsidR="00402066" w:rsidRPr="001E3956" w:rsidRDefault="001B413B" w:rsidP="001E3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956">
        <w:rPr>
          <w:rFonts w:ascii="Times New Roman" w:hAnsi="Times New Roman" w:cs="Times New Roman"/>
          <w:b/>
          <w:bCs/>
          <w:sz w:val="24"/>
          <w:szCs w:val="24"/>
        </w:rPr>
        <w:t>ПОРІВНЯЛЬНА ТАБЛИЦЯ ДО</w:t>
      </w:r>
    </w:p>
    <w:p w14:paraId="199AA895" w14:textId="77777777" w:rsidR="001B413B" w:rsidRPr="001E3956" w:rsidRDefault="001B413B" w:rsidP="001E3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956">
        <w:rPr>
          <w:rFonts w:ascii="Times New Roman" w:hAnsi="Times New Roman" w:cs="Times New Roman"/>
          <w:b/>
          <w:bCs/>
          <w:sz w:val="24"/>
          <w:szCs w:val="24"/>
        </w:rPr>
        <w:t xml:space="preserve">Проекту </w:t>
      </w:r>
      <w:hyperlink r:id="rId4" w:history="1">
        <w:r w:rsidRPr="001E395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Методика</w:t>
        </w:r>
      </w:hyperlink>
      <w:r w:rsidRPr="001E3956">
        <w:rPr>
          <w:rFonts w:ascii="Times New Roman" w:hAnsi="Times New Roman" w:cs="Times New Roman"/>
          <w:b/>
          <w:bCs/>
          <w:sz w:val="24"/>
          <w:szCs w:val="24"/>
        </w:rPr>
        <w:t xml:space="preserve"> обліку кількості користувачів медіа-сервісів провайдерів аудіовізуальних сервісів та порядок подання цієї інформації Національній раді України з питань телебачення і радіомовлення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402066" w:rsidRPr="002656E8" w14:paraId="53552F78" w14:textId="77777777" w:rsidTr="00402066">
        <w:tc>
          <w:tcPr>
            <w:tcW w:w="5042" w:type="dxa"/>
          </w:tcPr>
          <w:p w14:paraId="5D422675" w14:textId="77777777" w:rsidR="00402066" w:rsidRPr="002656E8" w:rsidRDefault="001B413B" w:rsidP="001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проекту акту</w:t>
            </w:r>
          </w:p>
        </w:tc>
        <w:tc>
          <w:tcPr>
            <w:tcW w:w="5043" w:type="dxa"/>
          </w:tcPr>
          <w:p w14:paraId="4DCA3789" w14:textId="77777777" w:rsidR="00402066" w:rsidRPr="002656E8" w:rsidRDefault="001B413B" w:rsidP="001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Положення проекту акту із зауваженнями</w:t>
            </w:r>
          </w:p>
        </w:tc>
        <w:tc>
          <w:tcPr>
            <w:tcW w:w="5043" w:type="dxa"/>
          </w:tcPr>
          <w:p w14:paraId="61C16539" w14:textId="77777777" w:rsidR="00402066" w:rsidRPr="002656E8" w:rsidRDefault="00BB1974" w:rsidP="001B4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</w:p>
        </w:tc>
      </w:tr>
      <w:tr w:rsidR="00402066" w:rsidRPr="002656E8" w14:paraId="71594FD0" w14:textId="77777777" w:rsidTr="00402066">
        <w:tc>
          <w:tcPr>
            <w:tcW w:w="5042" w:type="dxa"/>
          </w:tcPr>
          <w:p w14:paraId="060B00CA" w14:textId="77777777" w:rsidR="00402066" w:rsidRPr="002656E8" w:rsidRDefault="00402066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Методика обліку кількості користувачів медіа-сервісів провайдерів аудіовізуальних сервісів та порядок подання цієї інформації Національній раді України з питань телебачення і радіомовлення</w:t>
            </w:r>
          </w:p>
        </w:tc>
        <w:tc>
          <w:tcPr>
            <w:tcW w:w="5043" w:type="dxa"/>
          </w:tcPr>
          <w:p w14:paraId="6F29F1F6" w14:textId="77777777" w:rsidR="00402066" w:rsidRPr="002656E8" w:rsidRDefault="00402066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37346D7E" w14:textId="77777777" w:rsidR="00402066" w:rsidRPr="002656E8" w:rsidRDefault="00402066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66" w:rsidRPr="002656E8" w14:paraId="33F07CBF" w14:textId="77777777" w:rsidTr="00402066">
        <w:tc>
          <w:tcPr>
            <w:tcW w:w="5042" w:type="dxa"/>
          </w:tcPr>
          <w:p w14:paraId="0A57E4FD" w14:textId="77777777" w:rsidR="00EA40C8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I. Загальні положення </w:t>
            </w:r>
          </w:p>
          <w:p w14:paraId="68F86C4A" w14:textId="77777777" w:rsidR="00402066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1. Методика обліку кількості користувачів медіа-сервісів провайдерів аудіовізуальних сервісів та порядок подання цієї інформації Національній раді України з питань телебачення і радіомовлення (далі – Порядок) розроблено відповідно до Законів України «Про медіа» (далі – Закон) та «Про інформацію».</w:t>
            </w:r>
          </w:p>
        </w:tc>
        <w:tc>
          <w:tcPr>
            <w:tcW w:w="5043" w:type="dxa"/>
          </w:tcPr>
          <w:p w14:paraId="1D5F3D6F" w14:textId="77777777" w:rsidR="00402066" w:rsidRPr="002656E8" w:rsidRDefault="00402066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69C48A09" w14:textId="77777777" w:rsidR="00402066" w:rsidRPr="002656E8" w:rsidRDefault="00402066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66" w:rsidRPr="002656E8" w14:paraId="4D1B9868" w14:textId="77777777" w:rsidTr="00402066">
        <w:tc>
          <w:tcPr>
            <w:tcW w:w="5042" w:type="dxa"/>
          </w:tcPr>
          <w:p w14:paraId="2BEE806F" w14:textId="77777777" w:rsidR="00402066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встановлює методику обліку кількості користувачів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медіасервісів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провайдерів аудіовізуальних сервісів, порядок надання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щопіврічної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про кількість користувачів медіа-сервісів, із зазначенням сервісів, які надаються таким користувачам до Національної ради (у тому числі такої, що містить фінансово-економічні показники діяльності) (далі – звітна інформація). Звітна інформація подається провайдерами аудіовізуальних сервісів для виконання Національною радою України з питань телебачення і радіомовлення (далі – Національна рада) своїх повноважень, зокрема для визначення ринків певних аудіовізуальних послуг та проведення їх аналізу, підготовки аналітичних матеріалів щодо стану і розвитку галузі медіа, аналізу результатів державного 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нагляду тощо в обсягах, формах та строки, визначені цим Порядком.</w:t>
            </w:r>
          </w:p>
        </w:tc>
        <w:tc>
          <w:tcPr>
            <w:tcW w:w="5043" w:type="dxa"/>
          </w:tcPr>
          <w:p w14:paraId="77C1DC04" w14:textId="77777777" w:rsidR="00402066" w:rsidRPr="002656E8" w:rsidRDefault="00BB1974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Порядок встановлює методику обліку кількості користувачів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медіасервісів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провайдерів аудіовізуальних сервісів, порядок надання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щопіврічної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 про кількість користувачів медіа-сервісів, із зазначенням сервісів, які надаються таким користувачам до Національної ради </w:t>
            </w:r>
            <w:r w:rsidRPr="002656E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(у тому числі такої, що містить фінансово-економічні показники діяльності) 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(далі – звітна інформація). Звітна інформація подається провайдерами аудіовізуальних сервісів для виконання Національною радою України з питань телебачення і радіомовлення (далі – Національна рада) своїх повноважень, зокрема </w:t>
            </w:r>
            <w:r w:rsidRPr="002656E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для визначення ринків певних аудіовізуальних послуг та проведення їх аналізу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, підготовки аналітичних матеріалів щодо стану і розвитку галузі медіа, аналізу 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результатів державного нагляду </w:t>
            </w:r>
            <w:r w:rsidRPr="002656E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тощо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в обсягах, формах та строки, визначені цим Порядком.</w:t>
            </w:r>
          </w:p>
        </w:tc>
        <w:tc>
          <w:tcPr>
            <w:tcW w:w="5043" w:type="dxa"/>
          </w:tcPr>
          <w:p w14:paraId="63228069" w14:textId="77777777" w:rsidR="00402066" w:rsidRPr="002656E8" w:rsidRDefault="00BB1974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Вказані повноваження не передбачені ЗУ «Про медіа.».</w:t>
            </w:r>
            <w:r w:rsidR="00A7433C"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Крім того, слово «тощо» потребує виключення.</w:t>
            </w:r>
            <w:r w:rsidR="0008318D"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3C" w:rsidRPr="002656E8">
              <w:rPr>
                <w:rFonts w:ascii="Times New Roman" w:hAnsi="Times New Roman" w:cs="Times New Roman"/>
                <w:sz w:val="24"/>
                <w:szCs w:val="24"/>
              </w:rPr>
              <w:t>Оскільки, розширює повноваження , що надані Законом.</w:t>
            </w:r>
          </w:p>
          <w:p w14:paraId="3DA518D5" w14:textId="77777777" w:rsidR="00BB1974" w:rsidRPr="002656E8" w:rsidRDefault="00BB1974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Статтею 7 визначено лише, що </w:t>
            </w:r>
          </w:p>
          <w:p w14:paraId="01B6714F" w14:textId="77777777" w:rsidR="00BB1974" w:rsidRPr="002656E8" w:rsidRDefault="00BB1974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Межі ринків у сфері медіа визначає Антимонопольний комітет України, у тому числі за поданням Національної ради. </w:t>
            </w:r>
            <w:r w:rsidRPr="002656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uk-UA"/>
              </w:rPr>
              <w:t>Методика визначення меж ринків у сфері медіа затверджується Антимонопольним комітетом України за погодженням із Національною радою.</w:t>
            </w:r>
          </w:p>
          <w:p w14:paraId="4F259394" w14:textId="77777777" w:rsidR="00BB1974" w:rsidRPr="002656E8" w:rsidRDefault="00BB1974" w:rsidP="00BB197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656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«Стаття 7. </w:t>
            </w:r>
            <w:r w:rsidRPr="00265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Захист економічної конкуренції у сфері медіа</w:t>
            </w:r>
          </w:p>
          <w:p w14:paraId="6F9B713A" w14:textId="77777777" w:rsidR="00BB1974" w:rsidRPr="002656E8" w:rsidRDefault="00BB1974" w:rsidP="00BB197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bookmarkStart w:id="0" w:name="n197"/>
            <w:bookmarkEnd w:id="0"/>
            <w:r w:rsidRPr="00265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1. Держава сприяє вільній конкуренції у сфері медіа з метою захисту прав та інтересів користувачів і гарантування свободи </w:t>
            </w:r>
            <w:r w:rsidRPr="00265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lastRenderedPageBreak/>
              <w:t>господарської діяльності відповідно до цього Закону та </w:t>
            </w:r>
            <w:hyperlink r:id="rId5" w:tgtFrame="_blank" w:history="1">
              <w:r w:rsidRPr="002656E8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265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"Про захист економічної конкуренції".</w:t>
            </w:r>
          </w:p>
          <w:p w14:paraId="3953B475" w14:textId="77777777" w:rsidR="00BB1974" w:rsidRPr="002656E8" w:rsidRDefault="00BB1974" w:rsidP="00BB197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bookmarkStart w:id="1" w:name="n198"/>
            <w:bookmarkEnd w:id="1"/>
            <w:r w:rsidRPr="00265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 Жодна фізична або юридична особа одноособово та/або спільно з групою пов’язаних осіб не має права контролювати у будь-який спосіб, у тому числі через вплив на формування управлінських та/або наглядових органів суб’єкта у сфері аудіовізуальних медіа, більше 35 відсотків загального обсягу відповідного територіального аудіовізуального медіа-ринку - загальнонаціонального або регіонального.</w:t>
            </w:r>
          </w:p>
          <w:p w14:paraId="5B3EC60B" w14:textId="77777777" w:rsidR="00BB1974" w:rsidRPr="002656E8" w:rsidRDefault="00BB1974" w:rsidP="00BB1974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bookmarkStart w:id="2" w:name="n199"/>
            <w:bookmarkEnd w:id="2"/>
            <w:r w:rsidRPr="00265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Межі ринків у сфері медіа визначає Антимонопольний комітет України, у тому числі за поданням Національної ради. Методика визначення меж ринків у сфері медіа затверджується Антимонопольним комітетом України за погодженням із Національною радою.»</w:t>
            </w:r>
          </w:p>
          <w:p w14:paraId="12407029" w14:textId="77777777" w:rsidR="00BB1974" w:rsidRPr="002656E8" w:rsidRDefault="00BB1974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66" w:rsidRPr="002656E8" w14:paraId="5580E65F" w14:textId="77777777" w:rsidTr="00402066">
        <w:tc>
          <w:tcPr>
            <w:tcW w:w="5042" w:type="dxa"/>
          </w:tcPr>
          <w:p w14:paraId="36B29A82" w14:textId="77777777" w:rsidR="00402066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Порядок поширюється на всіх провайдерів аудіовізуальних сервісів, що здійснюють діяльність з надання користувачам доступу до телеканалів та радіоканалів незалежно від обраної технології в межах визначених пакетів телеканалів і радіоканалів на території України</w:t>
            </w:r>
          </w:p>
        </w:tc>
        <w:tc>
          <w:tcPr>
            <w:tcW w:w="5043" w:type="dxa"/>
          </w:tcPr>
          <w:p w14:paraId="7CDE4710" w14:textId="77777777" w:rsidR="00402066" w:rsidRPr="002656E8" w:rsidRDefault="00402066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765928D8" w14:textId="77777777" w:rsidR="00402066" w:rsidRPr="002656E8" w:rsidRDefault="00402066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7FA8C7D8" w14:textId="77777777" w:rsidTr="00402066">
        <w:tc>
          <w:tcPr>
            <w:tcW w:w="5042" w:type="dxa"/>
          </w:tcPr>
          <w:p w14:paraId="4D12A6BF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4. Усі провайдери аудіовізуальних сервісів, відповідно до статті 22 Закону, зобов’язані вести облік кількості користувачів його медіа-сервісів із зазначенням сервісів, які надаються таким користувачам та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щопівроку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надавати цю інформацію Національній раді через електронний кабінет в обсягах, формах та строки, визначені цим Порядком (звітність 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подається виключно відповідно до здійснюваного виду діяльності).  </w:t>
            </w:r>
          </w:p>
        </w:tc>
        <w:tc>
          <w:tcPr>
            <w:tcW w:w="5043" w:type="dxa"/>
          </w:tcPr>
          <w:p w14:paraId="5F93DE3A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46C1460A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39A31AC3" w14:textId="77777777" w:rsidTr="00402066">
        <w:tc>
          <w:tcPr>
            <w:tcW w:w="5042" w:type="dxa"/>
          </w:tcPr>
          <w:p w14:paraId="09079DFC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 5. Провайдери аудіовізуальних сервісів при наданні звітної інформації зобов’язані вказувати достовірні та об’єктивні дані про себе та свою діяльність у сфері медіа. </w:t>
            </w:r>
          </w:p>
        </w:tc>
        <w:tc>
          <w:tcPr>
            <w:tcW w:w="5043" w:type="dxa"/>
          </w:tcPr>
          <w:p w14:paraId="04449169" w14:textId="77777777" w:rsidR="00EA5BAF" w:rsidRPr="002656E8" w:rsidRDefault="00A761FA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5. Провайдери аудіовізуальних сервісів при наданні звітної інформації зобов’язані вказувати достовірні </w:t>
            </w:r>
            <w:r w:rsidRPr="002656E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та об’єктивні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дані про себе та свою діяльність у сфері медіа.</w:t>
            </w:r>
          </w:p>
        </w:tc>
        <w:tc>
          <w:tcPr>
            <w:tcW w:w="5043" w:type="dxa"/>
          </w:tcPr>
          <w:p w14:paraId="558B19D9" w14:textId="77777777" w:rsidR="00EA5BAF" w:rsidRPr="002656E8" w:rsidRDefault="00A761FA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Хто буде підтверджувати цю «об’єктивність»?</w:t>
            </w:r>
          </w:p>
          <w:p w14:paraId="546B7638" w14:textId="77777777" w:rsidR="00A761FA" w:rsidRPr="002656E8" w:rsidRDefault="00A761FA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Потребує виключення</w:t>
            </w:r>
            <w:r w:rsidR="00681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B95" w:rsidRPr="002656E8" w14:paraId="396A994B" w14:textId="77777777" w:rsidTr="00402066">
        <w:tc>
          <w:tcPr>
            <w:tcW w:w="5042" w:type="dxa"/>
          </w:tcPr>
          <w:p w14:paraId="41466B34" w14:textId="77777777" w:rsidR="00134B95" w:rsidRDefault="00134B95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84DB" w14:textId="77777777" w:rsidR="00134B95" w:rsidRPr="002656E8" w:rsidRDefault="00B4007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43" w:type="dxa"/>
          </w:tcPr>
          <w:p w14:paraId="14748CAB" w14:textId="77777777" w:rsidR="00134B95" w:rsidRPr="002656E8" w:rsidRDefault="00134B95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6.Інформація про кількість </w:t>
            </w:r>
            <w:r w:rsidRPr="00900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користувачів медіа-сервіс</w:t>
            </w:r>
            <w:r w:rsidRPr="00FD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00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провайдер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00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аудіовізуальних сервісів є інформацією з обмеженим доступом.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Надання звітної інформації </w:t>
            </w:r>
            <w:r w:rsidRPr="00900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провайдер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00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аудіовізуальних сервіс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00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запит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54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третіх осіб </w:t>
            </w:r>
            <w:r w:rsidRPr="0054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може </w:t>
            </w:r>
            <w:r w:rsidRPr="00FD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FD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йснюватися </w:t>
            </w:r>
            <w:r w:rsidRPr="0054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згодою </w:t>
            </w:r>
            <w:r w:rsidRPr="00FD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провайдера аудіовізуальних сервісів</w:t>
            </w:r>
            <w:r w:rsidRPr="0054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якщо інше не встановлено законом.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</w:t>
            </w:r>
            <w:r w:rsidRPr="00FD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D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інформаці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D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провайдера аудіовізуальних сервісу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 кількість користувачів, яка стала доступною третім особам у незаконний спосіб вважається не дійсною.</w:t>
            </w:r>
          </w:p>
        </w:tc>
        <w:tc>
          <w:tcPr>
            <w:tcW w:w="5043" w:type="dxa"/>
          </w:tcPr>
          <w:p w14:paraId="56453E0F" w14:textId="77777777" w:rsidR="00134B95" w:rsidRPr="002656E8" w:rsidRDefault="00134B95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5273D297" w14:textId="77777777" w:rsidTr="00402066">
        <w:tc>
          <w:tcPr>
            <w:tcW w:w="5042" w:type="dxa"/>
          </w:tcPr>
          <w:p w14:paraId="4987B5E7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II. Методика обліку кількості користувачів медіа-сервісів провайдерів аудіовізуальних сервісів</w:t>
            </w:r>
          </w:p>
        </w:tc>
        <w:tc>
          <w:tcPr>
            <w:tcW w:w="5043" w:type="dxa"/>
          </w:tcPr>
          <w:p w14:paraId="765A28B8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7BD917D2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3D7DE257" w14:textId="77777777" w:rsidTr="00402066">
        <w:tc>
          <w:tcPr>
            <w:tcW w:w="5042" w:type="dxa"/>
          </w:tcPr>
          <w:p w14:paraId="4062DC13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1. Основні статистичні показники кількості користувачів медіа-сервісів провайдерів аудіовізуальних сервісів є одним із показників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фінансовогосподарської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провайдера аудіовізуальних сервісів.</w:t>
            </w:r>
          </w:p>
        </w:tc>
        <w:tc>
          <w:tcPr>
            <w:tcW w:w="5043" w:type="dxa"/>
          </w:tcPr>
          <w:p w14:paraId="2BA189FD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6F377484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72D7FE03" w14:textId="77777777" w:rsidTr="00402066">
        <w:tc>
          <w:tcPr>
            <w:tcW w:w="5042" w:type="dxa"/>
          </w:tcPr>
          <w:p w14:paraId="2160FD26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2. Провайдер аудіовізуальних сервісів самостійно визначає кількість, типи та склад медіа-сервісів (пакетів телеканалів та радіоканалів), крім універсального медіа-сервісу, які пропонуються користувачам, а також, розмір користувацької плати за різні медіа-сервіси (пакети телеканалів та радіоканалів).</w:t>
            </w:r>
          </w:p>
        </w:tc>
        <w:tc>
          <w:tcPr>
            <w:tcW w:w="5043" w:type="dxa"/>
          </w:tcPr>
          <w:p w14:paraId="20DC509B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3F0D0DD2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4222DBF5" w14:textId="77777777" w:rsidTr="00402066">
        <w:tc>
          <w:tcPr>
            <w:tcW w:w="5042" w:type="dxa"/>
          </w:tcPr>
          <w:p w14:paraId="6338B94A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3. Провайдер аудіовізуальних сервісів надає користувачам доступ до медіа-сервісів (пакетів телеканалів та радіоканалів) на договірній 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основі самостійно або за участі постачальника електронних комунікаційних мереж та/або послуг, який укладає відповідний договір з користувачем.</w:t>
            </w:r>
          </w:p>
        </w:tc>
        <w:tc>
          <w:tcPr>
            <w:tcW w:w="5043" w:type="dxa"/>
          </w:tcPr>
          <w:p w14:paraId="122943FF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542247A1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225A45B7" w14:textId="77777777" w:rsidTr="00402066">
        <w:tc>
          <w:tcPr>
            <w:tcW w:w="5042" w:type="dxa"/>
          </w:tcPr>
          <w:p w14:paraId="4E5D1221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4. Провайдер аудіовізуальних сервісів на підставі кількості укладених договорів з користувачами зобов’язаний здійснювати облік загальної кількості користувачів медіа-сервісу, в тому числі визначає кількість користувачів кожного окремого медіа-сервісу, запропонованого користувачам</w:t>
            </w:r>
          </w:p>
        </w:tc>
        <w:tc>
          <w:tcPr>
            <w:tcW w:w="5043" w:type="dxa"/>
          </w:tcPr>
          <w:p w14:paraId="638D6ACE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4347537A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6035B511" w14:textId="77777777" w:rsidTr="00402066">
        <w:tc>
          <w:tcPr>
            <w:tcW w:w="5042" w:type="dxa"/>
          </w:tcPr>
          <w:p w14:paraId="7C314183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5. Облік користувачів медіа-сервісів провайдерів аудіовізуальних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медіасервісів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обраховується відповідно до кількості самостійно укладених провайдером аудіовізуальних медіа-сервісів договорів з користувачами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медіасервісів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3" w:type="dxa"/>
          </w:tcPr>
          <w:p w14:paraId="08AB3C19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2C2D4826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0483577F" w14:textId="77777777" w:rsidTr="00402066">
        <w:tc>
          <w:tcPr>
            <w:tcW w:w="5042" w:type="dxa"/>
          </w:tcPr>
          <w:p w14:paraId="07703029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6. Якщо договір укладено за участі постачальника електронних комунікаційних мереж та/або послуг, ця кількість користувачів медіа-сервісів додається до загальної кількості користувачів медіа-сервісів провайдера аудіовізуальних медіа-послуг.</w:t>
            </w:r>
          </w:p>
        </w:tc>
        <w:tc>
          <w:tcPr>
            <w:tcW w:w="5043" w:type="dxa"/>
          </w:tcPr>
          <w:p w14:paraId="75F44658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373B99AD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0446DCBA" w14:textId="77777777" w:rsidTr="00402066">
        <w:tc>
          <w:tcPr>
            <w:tcW w:w="5042" w:type="dxa"/>
          </w:tcPr>
          <w:p w14:paraId="3DC047DA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IІI. Процедура надання провайдерами аудіовізуальних сервісів звітності та інформації</w:t>
            </w:r>
          </w:p>
        </w:tc>
        <w:tc>
          <w:tcPr>
            <w:tcW w:w="5043" w:type="dxa"/>
          </w:tcPr>
          <w:p w14:paraId="14915030" w14:textId="77777777" w:rsidR="00EA5BAF" w:rsidRPr="002656E8" w:rsidRDefault="00E33063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IІI. </w:t>
            </w:r>
            <w:r w:rsidRPr="002656E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подання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 провайдерами аудіовізуальних сервісів </w:t>
            </w:r>
            <w:r w:rsidRPr="002656E8">
              <w:rPr>
                <w:rFonts w:ascii="Times New Roman" w:hAnsi="Times New Roman" w:cs="Times New Roman"/>
                <w:b/>
                <w:sz w:val="24"/>
                <w:szCs w:val="24"/>
              </w:rPr>
              <w:t>звітної інформації.</w:t>
            </w:r>
          </w:p>
        </w:tc>
        <w:tc>
          <w:tcPr>
            <w:tcW w:w="5043" w:type="dxa"/>
          </w:tcPr>
          <w:p w14:paraId="25BDFAAF" w14:textId="77777777" w:rsidR="00EA5BAF" w:rsidRPr="002656E8" w:rsidRDefault="00E33063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Вище за текстом зазначено, що встановлюється порядок подання та надається звітна інформація, а не звітність та інформація.</w:t>
            </w:r>
          </w:p>
        </w:tc>
      </w:tr>
      <w:tr w:rsidR="00EA5BAF" w:rsidRPr="002656E8" w14:paraId="75E1A96E" w14:textId="77777777" w:rsidTr="00402066">
        <w:tc>
          <w:tcPr>
            <w:tcW w:w="5042" w:type="dxa"/>
          </w:tcPr>
          <w:p w14:paraId="2D8E742F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1. Провайдери аудіовізуальних сервісів зобов’язані надавати Національній раді звітну інформацію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щопівроку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: до 30 липня за перше півріччя та до 30 січня за друге півріччя відповідного року.</w:t>
            </w:r>
          </w:p>
        </w:tc>
        <w:tc>
          <w:tcPr>
            <w:tcW w:w="5043" w:type="dxa"/>
          </w:tcPr>
          <w:p w14:paraId="4D0BF3C8" w14:textId="77777777" w:rsidR="00EA5BAF" w:rsidRPr="002656E8" w:rsidRDefault="00AD66F8" w:rsidP="00E3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1. Провайдери аудіовізуальних сервісів зобов’язані надавати Національній раді звітну інформацію </w:t>
            </w:r>
            <w:proofErr w:type="spellStart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щопівроку</w:t>
            </w:r>
            <w:proofErr w:type="spellEnd"/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: до 30 липня за перше півріччя </w:t>
            </w:r>
            <w:r w:rsidRPr="00265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  <w:r w:rsidR="00E33063" w:rsidRPr="002656E8">
              <w:rPr>
                <w:rFonts w:ascii="Times New Roman" w:hAnsi="Times New Roman" w:cs="Times New Roman"/>
                <w:b/>
                <w:sz w:val="24"/>
                <w:szCs w:val="24"/>
              </w:rPr>
              <w:t>до 20 лютого за друге півріччя відповідного року.</w:t>
            </w:r>
          </w:p>
        </w:tc>
        <w:tc>
          <w:tcPr>
            <w:tcW w:w="5043" w:type="dxa"/>
          </w:tcPr>
          <w:p w14:paraId="5E942F26" w14:textId="77777777" w:rsidR="00EA5BAF" w:rsidRPr="002656E8" w:rsidRDefault="00E33063" w:rsidP="00E3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Пропонуємо збільшити термін подання звіту за друге півріччя, задля зменшення навантаження, так як в цей час також подається інша річна звітність</w:t>
            </w:r>
          </w:p>
        </w:tc>
      </w:tr>
      <w:tr w:rsidR="00EA5BAF" w:rsidRPr="002656E8" w14:paraId="1747AC96" w14:textId="77777777" w:rsidTr="00402066">
        <w:tc>
          <w:tcPr>
            <w:tcW w:w="5042" w:type="dxa"/>
          </w:tcPr>
          <w:p w14:paraId="6D2DDEFD" w14:textId="77777777" w:rsidR="00AD66F8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2. Провайдери аудіовізуальних сервісів надають звітну інформацію в електронній формі за формою, встановленою в додатку до цього Порядку. До ухвалення Національною радою рішення про введення в експлуатацію електронного кабінету, надання звітної 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інформації здійснюється в паперовій формі на юридичну адресу Національної ради або в електронній формі на електронну пошту Національної ради. У разі подання звітної інформації в електронній формі, на супровідний лист та форми звітності накладається цифровий електронний підпис з урахуванням вимог законів України «Про електронні документи та електронний документообіг», «Про електронні довірчі послуги». </w:t>
            </w:r>
          </w:p>
          <w:p w14:paraId="13D07DD5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4 Інформація в паперовій формі надається Національній раді з супровідним листом на бланку провайдера аудіовізуальних сервісів (за наявності), в якому наводиться перелік додатків із зазначенням кількості аркушів кожного. Супровідний лист підписується керівником провайдера аудіовізуальних сервісів або уповноваженою ним особою.</w:t>
            </w:r>
          </w:p>
        </w:tc>
        <w:tc>
          <w:tcPr>
            <w:tcW w:w="5043" w:type="dxa"/>
          </w:tcPr>
          <w:p w14:paraId="407819D6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14:paraId="5A840F31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2656E8" w14:paraId="0D6784EB" w14:textId="77777777" w:rsidTr="00402066">
        <w:tc>
          <w:tcPr>
            <w:tcW w:w="5042" w:type="dxa"/>
          </w:tcPr>
          <w:p w14:paraId="33B4AB8B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3. Якщо провайдери аудіовізуальних сервісів, відомості про яких містяться в Реєстрі, фактично не здійснюють діяльності у сфері медіа, вони зобов’язані повідомити про це Національну раду листом у паперовій або електронній формі.</w:t>
            </w:r>
          </w:p>
        </w:tc>
        <w:tc>
          <w:tcPr>
            <w:tcW w:w="5043" w:type="dxa"/>
          </w:tcPr>
          <w:p w14:paraId="3525BE0D" w14:textId="77777777" w:rsidR="00EA5BAF" w:rsidRPr="001E3956" w:rsidRDefault="0068165D" w:rsidP="001B41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виключити</w:t>
            </w:r>
          </w:p>
        </w:tc>
        <w:tc>
          <w:tcPr>
            <w:tcW w:w="5043" w:type="dxa"/>
          </w:tcPr>
          <w:p w14:paraId="03F8C84D" w14:textId="77777777" w:rsidR="0068165D" w:rsidRDefault="0068165D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є предметом регулювання вказаної Методики. </w:t>
            </w:r>
          </w:p>
          <w:p w14:paraId="7A28E1B3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2ECA2" w14:textId="77777777" w:rsidR="00EA5BAF" w:rsidRPr="002656E8" w:rsidRDefault="00EA5BAF" w:rsidP="001B413B">
      <w:pPr>
        <w:jc w:val="right"/>
        <w:rPr>
          <w:rFonts w:ascii="Times New Roman" w:hAnsi="Times New Roman" w:cs="Times New Roman"/>
          <w:sz w:val="24"/>
          <w:szCs w:val="24"/>
        </w:rPr>
      </w:pPr>
      <w:r w:rsidRPr="002656E8">
        <w:rPr>
          <w:rFonts w:ascii="Times New Roman" w:hAnsi="Times New Roman" w:cs="Times New Roman"/>
          <w:sz w:val="24"/>
          <w:szCs w:val="24"/>
        </w:rPr>
        <w:t xml:space="preserve">Додаток до Методики обліку кількості користувачів медіа-сервісів провайдерів аудіовізуальних сервісів та порядку подання цієї інформації Національній раді України з питань телебачення і радіомовлення (пункт 2 розділу ІІ) </w:t>
      </w:r>
    </w:p>
    <w:p w14:paraId="091CE4B6" w14:textId="77777777" w:rsidR="00EA5BAF" w:rsidRPr="002656E8" w:rsidRDefault="00EA5BAF" w:rsidP="001B4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6E8">
        <w:rPr>
          <w:rFonts w:ascii="Times New Roman" w:hAnsi="Times New Roman" w:cs="Times New Roman"/>
          <w:sz w:val="24"/>
          <w:szCs w:val="24"/>
        </w:rPr>
        <w:t>Інформація щодо кількості користувачів медіа-сервісів провайдерів аудіовізуальних сервісів із зазначенням сервісів, які надаються таким користувачам (звітна інформація), станом на _______________20___ року __________________________________________________________________</w:t>
      </w:r>
    </w:p>
    <w:p w14:paraId="347ED623" w14:textId="77777777" w:rsidR="00EA5BAF" w:rsidRPr="002656E8" w:rsidRDefault="00EA5BAF" w:rsidP="001B4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6E8">
        <w:rPr>
          <w:rFonts w:ascii="Times New Roman" w:hAnsi="Times New Roman" w:cs="Times New Roman"/>
          <w:sz w:val="24"/>
          <w:szCs w:val="24"/>
        </w:rPr>
        <w:t>(найменування провайдера аудіовізуального сервісу)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3414"/>
        <w:gridCol w:w="2337"/>
        <w:gridCol w:w="2707"/>
        <w:gridCol w:w="4230"/>
      </w:tblGrid>
      <w:tr w:rsidR="001B413B" w:rsidRPr="002656E8" w14:paraId="7989B6AF" w14:textId="77777777" w:rsidTr="001B413B">
        <w:tc>
          <w:tcPr>
            <w:tcW w:w="5854" w:type="dxa"/>
            <w:gridSpan w:val="2"/>
          </w:tcPr>
          <w:p w14:paraId="00E9C327" w14:textId="77777777" w:rsidR="001B413B" w:rsidRPr="002656E8" w:rsidRDefault="001B413B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Ідентифікатор суб’єкта у сфері медіа:</w:t>
            </w:r>
          </w:p>
        </w:tc>
        <w:tc>
          <w:tcPr>
            <w:tcW w:w="9274" w:type="dxa"/>
            <w:gridSpan w:val="3"/>
          </w:tcPr>
          <w:p w14:paraId="22F058C1" w14:textId="77777777" w:rsidR="001B413B" w:rsidRPr="002656E8" w:rsidRDefault="001B413B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3B" w:rsidRPr="002656E8" w14:paraId="31B2FBB9" w14:textId="77777777" w:rsidTr="001B413B">
        <w:tc>
          <w:tcPr>
            <w:tcW w:w="5854" w:type="dxa"/>
            <w:gridSpan w:val="2"/>
          </w:tcPr>
          <w:p w14:paraId="3332435C" w14:textId="77777777" w:rsidR="001B413B" w:rsidRPr="002656E8" w:rsidRDefault="001B413B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Особа, відповідальна за заповнення форми звітності (ПІБ)</w:t>
            </w:r>
          </w:p>
        </w:tc>
        <w:tc>
          <w:tcPr>
            <w:tcW w:w="9274" w:type="dxa"/>
            <w:gridSpan w:val="3"/>
          </w:tcPr>
          <w:p w14:paraId="2A4EF252" w14:textId="77777777" w:rsidR="001B413B" w:rsidRPr="002656E8" w:rsidRDefault="001B413B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3B" w:rsidRPr="002656E8" w14:paraId="64C66748" w14:textId="77777777" w:rsidTr="001B413B">
        <w:tc>
          <w:tcPr>
            <w:tcW w:w="5854" w:type="dxa"/>
            <w:gridSpan w:val="2"/>
          </w:tcPr>
          <w:p w14:paraId="3A6FAA12" w14:textId="77777777" w:rsidR="001B413B" w:rsidRPr="002656E8" w:rsidRDefault="001B413B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9274" w:type="dxa"/>
            <w:gridSpan w:val="3"/>
          </w:tcPr>
          <w:p w14:paraId="68DC416A" w14:textId="77777777" w:rsidR="001B413B" w:rsidRPr="002656E8" w:rsidRDefault="00524E5D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дублювання реєстраційної інформації</w:t>
            </w:r>
          </w:p>
        </w:tc>
      </w:tr>
      <w:tr w:rsidR="001B413B" w:rsidRPr="002656E8" w14:paraId="79A7C80D" w14:textId="77777777" w:rsidTr="001B413B">
        <w:tc>
          <w:tcPr>
            <w:tcW w:w="5854" w:type="dxa"/>
            <w:gridSpan w:val="2"/>
          </w:tcPr>
          <w:p w14:paraId="2A7524F3" w14:textId="77777777" w:rsidR="001B413B" w:rsidRPr="002656E8" w:rsidRDefault="001B413B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Електронна пошта:</w:t>
            </w:r>
          </w:p>
        </w:tc>
        <w:tc>
          <w:tcPr>
            <w:tcW w:w="9274" w:type="dxa"/>
            <w:gridSpan w:val="3"/>
          </w:tcPr>
          <w:p w14:paraId="6B17586A" w14:textId="77777777" w:rsidR="001B413B" w:rsidRPr="002656E8" w:rsidRDefault="00524E5D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дублювання реєстраційної інформації</w:t>
            </w:r>
          </w:p>
        </w:tc>
      </w:tr>
      <w:tr w:rsidR="00EA5BAF" w:rsidRPr="002656E8" w14:paraId="3F8AA6B3" w14:textId="77777777" w:rsidTr="001B413B">
        <w:tc>
          <w:tcPr>
            <w:tcW w:w="5854" w:type="dxa"/>
            <w:gridSpan w:val="2"/>
          </w:tcPr>
          <w:p w14:paraId="34B28A24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14:paraId="406A64D0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CAA6251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AF" w:rsidRPr="001B413B" w14:paraId="48326F8D" w14:textId="77777777" w:rsidTr="001B413B">
        <w:tc>
          <w:tcPr>
            <w:tcW w:w="2440" w:type="dxa"/>
          </w:tcPr>
          <w:p w14:paraId="452A02BC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>Технологія, що застосовується для надання доступу (кабельна аналогова, кабельна цифрова (DVB-C, DVB-C2), багатоканальна система (МІТРІС, MMDS), супутникова (DTH), Інтернет (ОТТ, IPTV), інше (зазначити))</w:t>
            </w:r>
          </w:p>
        </w:tc>
        <w:tc>
          <w:tcPr>
            <w:tcW w:w="3414" w:type="dxa"/>
          </w:tcPr>
          <w:p w14:paraId="77B7BABD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>Територія надання сервісу (</w:t>
            </w:r>
            <w:proofErr w:type="spellStart"/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>адміністративнотериторіальна</w:t>
            </w:r>
            <w:proofErr w:type="spellEnd"/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одиниця, у межах якої розповсюджуються телеканали або радіоканали, або територія України)</w:t>
            </w:r>
          </w:p>
        </w:tc>
        <w:tc>
          <w:tcPr>
            <w:tcW w:w="2337" w:type="dxa"/>
          </w:tcPr>
          <w:p w14:paraId="5E83D9B2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>Тип (назва) медіа-сервісу (пакету телеканалів та радіоканалів)</w:t>
            </w:r>
          </w:p>
        </w:tc>
        <w:tc>
          <w:tcPr>
            <w:tcW w:w="2707" w:type="dxa"/>
          </w:tcPr>
          <w:p w14:paraId="03437761" w14:textId="77777777" w:rsidR="00EA5BAF" w:rsidRPr="002656E8" w:rsidRDefault="00EA5BAF" w:rsidP="001B413B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Кількість телеканалів і радіоканалів в медіа-сервісі (пакеті телеканалів та радіоканалів)</w:t>
            </w:r>
          </w:p>
        </w:tc>
        <w:tc>
          <w:tcPr>
            <w:tcW w:w="4230" w:type="dxa"/>
          </w:tcPr>
          <w:p w14:paraId="4E47856D" w14:textId="77777777" w:rsidR="00807BCC" w:rsidRDefault="00807BCC" w:rsidP="0080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користувачів </w:t>
            </w:r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кожного </w:t>
            </w:r>
            <w:proofErr w:type="spellStart"/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>медіасервісу</w:t>
            </w:r>
            <w:proofErr w:type="spellEnd"/>
            <w:r w:rsidRPr="002656E8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(</w:t>
            </w:r>
            <w:r w:rsidRPr="002656E8">
              <w:rPr>
                <w:rFonts w:ascii="Times New Roman" w:hAnsi="Times New Roman" w:cs="Times New Roman"/>
                <w:sz w:val="24"/>
                <w:szCs w:val="24"/>
              </w:rPr>
              <w:t>пакету телеканалів та радіоканалів)</w:t>
            </w:r>
          </w:p>
          <w:p w14:paraId="28D6817D" w14:textId="77777777" w:rsidR="00EA5BAF" w:rsidRPr="001B413B" w:rsidRDefault="00EA5BAF" w:rsidP="001B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5D" w:rsidRPr="001B413B" w14:paraId="41E92AEF" w14:textId="77777777" w:rsidTr="001B413B">
        <w:tc>
          <w:tcPr>
            <w:tcW w:w="2440" w:type="dxa"/>
          </w:tcPr>
          <w:p w14:paraId="51EE5794" w14:textId="77777777" w:rsidR="0068165D" w:rsidRPr="002656E8" w:rsidRDefault="0068165D" w:rsidP="001B413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дублювання реєстраційної інформації</w:t>
            </w:r>
          </w:p>
        </w:tc>
        <w:tc>
          <w:tcPr>
            <w:tcW w:w="3414" w:type="dxa"/>
          </w:tcPr>
          <w:p w14:paraId="3FA29D0F" w14:textId="77777777" w:rsidR="0068165D" w:rsidRPr="002656E8" w:rsidRDefault="0068165D" w:rsidP="001B413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дублювання реєстраційної інформації</w:t>
            </w:r>
          </w:p>
        </w:tc>
        <w:tc>
          <w:tcPr>
            <w:tcW w:w="2337" w:type="dxa"/>
          </w:tcPr>
          <w:p w14:paraId="5C702F8D" w14:textId="77777777" w:rsidR="0068165D" w:rsidRPr="002656E8" w:rsidRDefault="0068165D" w:rsidP="001B413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дублювання реєстраційної інформації</w:t>
            </w:r>
          </w:p>
        </w:tc>
        <w:tc>
          <w:tcPr>
            <w:tcW w:w="2707" w:type="dxa"/>
          </w:tcPr>
          <w:p w14:paraId="56DD0BAA" w14:textId="77777777" w:rsidR="0068165D" w:rsidRPr="002656E8" w:rsidRDefault="0068165D" w:rsidP="001B413B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656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дублювання реєстраційної інформації</w:t>
            </w:r>
          </w:p>
        </w:tc>
        <w:tc>
          <w:tcPr>
            <w:tcW w:w="4230" w:type="dxa"/>
          </w:tcPr>
          <w:p w14:paraId="7915519F" w14:textId="77777777" w:rsidR="0068165D" w:rsidRPr="002656E8" w:rsidRDefault="0068165D" w:rsidP="0080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0FB80" w14:textId="77777777" w:rsidR="00EA5BAF" w:rsidRPr="001B413B" w:rsidRDefault="00EA5BAF" w:rsidP="001B41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BAF" w:rsidRPr="001B413B" w:rsidSect="001E3956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66"/>
    <w:rsid w:val="00031AD8"/>
    <w:rsid w:val="0008318D"/>
    <w:rsid w:val="000B5477"/>
    <w:rsid w:val="00134B95"/>
    <w:rsid w:val="001B413B"/>
    <w:rsid w:val="001E3956"/>
    <w:rsid w:val="002656E8"/>
    <w:rsid w:val="00402066"/>
    <w:rsid w:val="00524E5D"/>
    <w:rsid w:val="0068165D"/>
    <w:rsid w:val="006A2E91"/>
    <w:rsid w:val="00807BCC"/>
    <w:rsid w:val="00A7433C"/>
    <w:rsid w:val="00A761FA"/>
    <w:rsid w:val="00AD66F8"/>
    <w:rsid w:val="00B4007F"/>
    <w:rsid w:val="00BB1974"/>
    <w:rsid w:val="00BE50E3"/>
    <w:rsid w:val="00E33063"/>
    <w:rsid w:val="00EA40C8"/>
    <w:rsid w:val="00E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C6B4"/>
  <w15:chartTrackingRefBased/>
  <w15:docId w15:val="{7A83A809-2651-41F5-A3D7-401572BC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www.nrada.gov.ua/proyekt-metodyky-obliku-kilkosti-korystuvachiv-media-servisiv-provajderiv-audiovizualnyh-servisiv-ta-poryadku-podannya-tsiyeyi-informatsiyi-natsionalnij-radi-ukrayiny-z-pytan-telebachennya-radiomovl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6966</Words>
  <Characters>3972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 Анна</dc:creator>
  <cp:keywords/>
  <dc:description/>
  <cp:lastModifiedBy>Марина Пригорницкая</cp:lastModifiedBy>
  <cp:revision>2</cp:revision>
  <dcterms:created xsi:type="dcterms:W3CDTF">2023-05-20T10:01:00Z</dcterms:created>
  <dcterms:modified xsi:type="dcterms:W3CDTF">2023-05-20T10:01:00Z</dcterms:modified>
</cp:coreProperties>
</file>