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9CFEE" w14:textId="77777777" w:rsidR="006C3969" w:rsidRPr="002D394C" w:rsidRDefault="006C3969" w:rsidP="007F1AAB">
      <w:pPr>
        <w:jc w:val="center"/>
        <w:rPr>
          <w:rFonts w:ascii="Times New Roman" w:eastAsia="Times New Roman" w:hAnsi="Times New Roman" w:cs="Times New Roman"/>
          <w:b/>
          <w:color w:val="000000" w:themeColor="text1"/>
          <w:sz w:val="28"/>
          <w:szCs w:val="28"/>
          <w:lang w:val="en-US"/>
        </w:rPr>
      </w:pPr>
    </w:p>
    <w:p w14:paraId="722A9AC0" w14:textId="77777777" w:rsidR="00EF69FF" w:rsidRPr="002D394C" w:rsidRDefault="00EF69FF" w:rsidP="007F1AAB">
      <w:pPr>
        <w:jc w:val="center"/>
        <w:rPr>
          <w:rFonts w:ascii="Times New Roman" w:eastAsia="Times New Roman" w:hAnsi="Times New Roman" w:cs="Times New Roman"/>
          <w:b/>
          <w:color w:val="000000" w:themeColor="text1"/>
          <w:sz w:val="28"/>
          <w:szCs w:val="28"/>
          <w:lang w:val="uk-UA"/>
        </w:rPr>
      </w:pPr>
    </w:p>
    <w:p w14:paraId="677FA7EA" w14:textId="77777777" w:rsidR="00EF69FF" w:rsidRPr="002D394C" w:rsidRDefault="00EF69FF" w:rsidP="007F1AAB">
      <w:pPr>
        <w:jc w:val="center"/>
        <w:rPr>
          <w:rFonts w:ascii="Times New Roman" w:eastAsia="Times New Roman" w:hAnsi="Times New Roman" w:cs="Times New Roman"/>
          <w:b/>
          <w:color w:val="000000" w:themeColor="text1"/>
          <w:sz w:val="28"/>
          <w:szCs w:val="28"/>
          <w:lang w:val="uk-UA"/>
        </w:rPr>
      </w:pPr>
    </w:p>
    <w:p w14:paraId="2759B911" w14:textId="77777777" w:rsidR="00DA6D21" w:rsidRPr="002D394C" w:rsidRDefault="000E44F9" w:rsidP="007F1AAB">
      <w:pPr>
        <w:jc w:val="center"/>
        <w:rPr>
          <w:rFonts w:ascii="Times New Roman" w:eastAsia="Times New Roman" w:hAnsi="Times New Roman" w:cs="Times New Roman"/>
          <w:b/>
          <w:color w:val="000000" w:themeColor="text1"/>
          <w:sz w:val="28"/>
          <w:szCs w:val="28"/>
          <w:lang w:val="uk-UA"/>
        </w:rPr>
      </w:pPr>
      <w:r w:rsidRPr="002D394C">
        <w:rPr>
          <w:rFonts w:ascii="Times New Roman" w:eastAsia="Times New Roman" w:hAnsi="Times New Roman" w:cs="Times New Roman"/>
          <w:b/>
          <w:color w:val="000000" w:themeColor="text1"/>
          <w:sz w:val="28"/>
          <w:szCs w:val="28"/>
          <w:lang w:val="uk-UA"/>
        </w:rPr>
        <w:t>ПОЯСНЮВАЛЬНА ЗАПИСКА</w:t>
      </w:r>
    </w:p>
    <w:p w14:paraId="381D7AB9" w14:textId="77777777" w:rsidR="00DA6D21" w:rsidRPr="002D394C" w:rsidRDefault="000E44F9" w:rsidP="006F073F">
      <w:pPr>
        <w:spacing w:line="240" w:lineRule="auto"/>
        <w:jc w:val="center"/>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 xml:space="preserve">до </w:t>
      </w:r>
      <w:r w:rsidR="00605928" w:rsidRPr="002D394C">
        <w:rPr>
          <w:rFonts w:ascii="Times New Roman" w:eastAsia="Times New Roman" w:hAnsi="Times New Roman" w:cs="Times New Roman"/>
          <w:color w:val="000000" w:themeColor="text1"/>
          <w:sz w:val="28"/>
          <w:szCs w:val="28"/>
          <w:lang w:val="uk-UA"/>
        </w:rPr>
        <w:t>про</w:t>
      </w:r>
      <w:r w:rsidR="00A14CE3" w:rsidRPr="002D394C">
        <w:rPr>
          <w:rFonts w:ascii="Times New Roman" w:eastAsia="Times New Roman" w:hAnsi="Times New Roman" w:cs="Times New Roman"/>
          <w:color w:val="000000" w:themeColor="text1"/>
          <w:sz w:val="28"/>
          <w:szCs w:val="28"/>
          <w:lang w:val="uk-UA"/>
        </w:rPr>
        <w:t>е</w:t>
      </w:r>
      <w:r w:rsidR="00605928" w:rsidRPr="002D394C">
        <w:rPr>
          <w:rFonts w:ascii="Times New Roman" w:eastAsia="Times New Roman" w:hAnsi="Times New Roman" w:cs="Times New Roman"/>
          <w:color w:val="000000" w:themeColor="text1"/>
          <w:sz w:val="28"/>
          <w:szCs w:val="28"/>
          <w:lang w:val="uk-UA"/>
        </w:rPr>
        <w:t xml:space="preserve">кту </w:t>
      </w:r>
      <w:r w:rsidRPr="002D394C">
        <w:rPr>
          <w:rFonts w:ascii="Times New Roman" w:eastAsia="Times New Roman" w:hAnsi="Times New Roman" w:cs="Times New Roman"/>
          <w:color w:val="000000" w:themeColor="text1"/>
          <w:sz w:val="28"/>
          <w:szCs w:val="28"/>
          <w:lang w:val="uk-UA"/>
        </w:rPr>
        <w:t>Закону України</w:t>
      </w:r>
      <w:r w:rsidRPr="002D394C">
        <w:rPr>
          <w:rFonts w:ascii="Times New Roman" w:eastAsia="Times New Roman" w:hAnsi="Times New Roman" w:cs="Times New Roman"/>
          <w:b/>
          <w:color w:val="000000" w:themeColor="text1"/>
          <w:sz w:val="28"/>
          <w:szCs w:val="28"/>
          <w:lang w:val="uk-UA"/>
        </w:rPr>
        <w:t xml:space="preserve"> </w:t>
      </w:r>
      <w:r w:rsidR="00BE68C8" w:rsidRPr="002D394C">
        <w:rPr>
          <w:rFonts w:ascii="Times New Roman" w:eastAsia="Times New Roman" w:hAnsi="Times New Roman" w:cs="Times New Roman"/>
          <w:color w:val="000000" w:themeColor="text1"/>
          <w:sz w:val="28"/>
          <w:szCs w:val="28"/>
          <w:lang w:val="uk-UA"/>
        </w:rPr>
        <w:t>"</w:t>
      </w:r>
      <w:r w:rsidR="006F073F" w:rsidRPr="002D394C">
        <w:rPr>
          <w:rFonts w:ascii="Times New Roman" w:eastAsia="Times New Roman" w:hAnsi="Times New Roman" w:cs="Times New Roman"/>
          <w:color w:val="000000" w:themeColor="text1"/>
          <w:sz w:val="28"/>
          <w:szCs w:val="28"/>
          <w:lang w:val="uk-UA"/>
        </w:rPr>
        <w:t xml:space="preserve"> Про внесення зміни до Податкового кодексу України щодо оподаткування суб’єктів, які здійснюють відрахування (винагороду) за використання об’єктів авторського права і (або) суміжних прав на користь організацій колективного управління</w:t>
      </w:r>
      <w:r w:rsidR="00BE68C8" w:rsidRPr="002D394C">
        <w:rPr>
          <w:rFonts w:ascii="Times New Roman" w:eastAsia="Times New Roman" w:hAnsi="Times New Roman" w:cs="Times New Roman"/>
          <w:color w:val="000000" w:themeColor="text1"/>
          <w:sz w:val="28"/>
          <w:szCs w:val="28"/>
          <w:lang w:val="uk-UA"/>
        </w:rPr>
        <w:t>"</w:t>
      </w:r>
    </w:p>
    <w:p w14:paraId="5DF9D1DD" w14:textId="77777777" w:rsidR="00605928" w:rsidRPr="002D394C" w:rsidRDefault="00605928" w:rsidP="00A14CE3">
      <w:pPr>
        <w:jc w:val="center"/>
        <w:rPr>
          <w:rFonts w:ascii="Times New Roman" w:eastAsia="Times New Roman" w:hAnsi="Times New Roman" w:cs="Times New Roman"/>
          <w:color w:val="000000" w:themeColor="text1"/>
          <w:sz w:val="28"/>
          <w:szCs w:val="28"/>
          <w:lang w:val="uk-UA"/>
        </w:rPr>
      </w:pPr>
    </w:p>
    <w:p w14:paraId="53F4F023" w14:textId="77777777" w:rsidR="00DA6D21" w:rsidRPr="002D394C" w:rsidRDefault="000E44F9" w:rsidP="00E458AA">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b/>
          <w:color w:val="000000" w:themeColor="text1"/>
          <w:sz w:val="28"/>
          <w:szCs w:val="28"/>
          <w:lang w:val="uk-UA"/>
        </w:rPr>
        <w:t xml:space="preserve">1. Обґрунтування необхідності прийняття </w:t>
      </w:r>
      <w:r w:rsidR="00605928" w:rsidRPr="002D394C">
        <w:rPr>
          <w:rFonts w:ascii="Times New Roman" w:eastAsia="Times New Roman" w:hAnsi="Times New Roman" w:cs="Times New Roman"/>
          <w:b/>
          <w:color w:val="000000" w:themeColor="text1"/>
          <w:sz w:val="28"/>
          <w:szCs w:val="28"/>
          <w:lang w:val="uk-UA"/>
        </w:rPr>
        <w:t>законопро</w:t>
      </w:r>
      <w:r w:rsidR="00A14CE3" w:rsidRPr="002D394C">
        <w:rPr>
          <w:rFonts w:ascii="Times New Roman" w:eastAsia="Times New Roman" w:hAnsi="Times New Roman" w:cs="Times New Roman"/>
          <w:b/>
          <w:color w:val="000000" w:themeColor="text1"/>
          <w:sz w:val="28"/>
          <w:szCs w:val="28"/>
          <w:lang w:val="uk-UA"/>
        </w:rPr>
        <w:t>е</w:t>
      </w:r>
      <w:r w:rsidR="00605928" w:rsidRPr="002D394C">
        <w:rPr>
          <w:rFonts w:ascii="Times New Roman" w:eastAsia="Times New Roman" w:hAnsi="Times New Roman" w:cs="Times New Roman"/>
          <w:b/>
          <w:color w:val="000000" w:themeColor="text1"/>
          <w:sz w:val="28"/>
          <w:szCs w:val="28"/>
          <w:lang w:val="uk-UA"/>
        </w:rPr>
        <w:t>кту</w:t>
      </w:r>
    </w:p>
    <w:p w14:paraId="76AD5B48" w14:textId="77777777" w:rsidR="000B4D0E" w:rsidRPr="002D394C" w:rsidRDefault="000B4D0E" w:rsidP="000B4D0E">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Закон України «Про ефективне управління майновими правами правовласників у сфері авторського права і (або) суміжних прав»</w:t>
      </w:r>
      <w:r w:rsidR="000A2222" w:rsidRPr="002D394C">
        <w:rPr>
          <w:rFonts w:ascii="Times New Roman" w:eastAsia="Times New Roman" w:hAnsi="Times New Roman" w:cs="Times New Roman"/>
          <w:color w:val="000000" w:themeColor="text1"/>
          <w:sz w:val="28"/>
          <w:szCs w:val="28"/>
          <w:lang w:val="uk-UA"/>
        </w:rPr>
        <w:t xml:space="preserve"> (далі – Закон)</w:t>
      </w:r>
      <w:r w:rsidRPr="002D394C">
        <w:rPr>
          <w:rFonts w:ascii="Times New Roman" w:eastAsia="Times New Roman" w:hAnsi="Times New Roman" w:cs="Times New Roman"/>
          <w:color w:val="000000" w:themeColor="text1"/>
          <w:sz w:val="28"/>
          <w:szCs w:val="28"/>
          <w:lang w:val="uk-UA"/>
        </w:rPr>
        <w:t xml:space="preserve"> </w:t>
      </w:r>
      <w:r w:rsidR="006F073F" w:rsidRPr="002D394C">
        <w:rPr>
          <w:rFonts w:ascii="Times New Roman" w:eastAsia="Times New Roman" w:hAnsi="Times New Roman" w:cs="Times New Roman"/>
          <w:color w:val="000000" w:themeColor="text1"/>
          <w:sz w:val="28"/>
          <w:szCs w:val="28"/>
          <w:lang w:val="uk-UA"/>
        </w:rPr>
        <w:t>визначив</w:t>
      </w:r>
      <w:r w:rsidRPr="002D394C">
        <w:rPr>
          <w:rFonts w:ascii="Times New Roman" w:eastAsia="Times New Roman" w:hAnsi="Times New Roman" w:cs="Times New Roman"/>
          <w:color w:val="000000" w:themeColor="text1"/>
          <w:sz w:val="28"/>
          <w:szCs w:val="28"/>
          <w:lang w:val="uk-UA"/>
        </w:rPr>
        <w:t xml:space="preserve">, що </w:t>
      </w:r>
      <w:r w:rsidR="008E5341" w:rsidRPr="002D394C">
        <w:rPr>
          <w:rFonts w:ascii="Times New Roman" w:eastAsia="Times New Roman" w:hAnsi="Times New Roman" w:cs="Times New Roman"/>
          <w:color w:val="000000" w:themeColor="text1"/>
          <w:sz w:val="28"/>
          <w:szCs w:val="28"/>
          <w:lang w:val="uk-UA"/>
        </w:rPr>
        <w:t>к</w:t>
      </w:r>
      <w:r w:rsidRPr="002D394C">
        <w:rPr>
          <w:rFonts w:ascii="Times New Roman" w:eastAsia="Times New Roman" w:hAnsi="Times New Roman" w:cs="Times New Roman"/>
          <w:color w:val="000000" w:themeColor="text1"/>
          <w:sz w:val="28"/>
          <w:szCs w:val="28"/>
          <w:lang w:val="uk-UA"/>
        </w:rPr>
        <w:t>ористувачі</w:t>
      </w:r>
      <w:r w:rsidR="004C071C" w:rsidRPr="002D394C">
        <w:rPr>
          <w:rFonts w:ascii="Times New Roman" w:eastAsia="Times New Roman" w:hAnsi="Times New Roman" w:cs="Times New Roman"/>
          <w:color w:val="000000" w:themeColor="text1"/>
          <w:sz w:val="28"/>
          <w:szCs w:val="28"/>
          <w:lang w:val="uk-UA"/>
        </w:rPr>
        <w:t xml:space="preserve"> </w:t>
      </w:r>
      <w:r w:rsidRPr="002D394C">
        <w:rPr>
          <w:rFonts w:ascii="Times New Roman" w:eastAsia="Times New Roman" w:hAnsi="Times New Roman" w:cs="Times New Roman"/>
          <w:color w:val="000000" w:themeColor="text1"/>
          <w:sz w:val="28"/>
          <w:szCs w:val="28"/>
          <w:lang w:val="uk-UA"/>
        </w:rPr>
        <w:t>зобов’язані до початку використання у своїй діяльності об’єктів авторсько</w:t>
      </w:r>
      <w:r w:rsidR="00F13B3A" w:rsidRPr="002D394C">
        <w:rPr>
          <w:rFonts w:ascii="Times New Roman" w:eastAsia="Times New Roman" w:hAnsi="Times New Roman" w:cs="Times New Roman"/>
          <w:color w:val="000000" w:themeColor="text1"/>
          <w:sz w:val="28"/>
          <w:szCs w:val="28"/>
          <w:lang w:val="uk-UA"/>
        </w:rPr>
        <w:t>го права і (або) суміжних прав,</w:t>
      </w:r>
      <w:r w:rsidRPr="002D394C">
        <w:rPr>
          <w:rFonts w:ascii="Times New Roman" w:eastAsia="Times New Roman" w:hAnsi="Times New Roman" w:cs="Times New Roman"/>
          <w:color w:val="000000" w:themeColor="text1"/>
          <w:sz w:val="28"/>
          <w:szCs w:val="28"/>
          <w:lang w:val="uk-UA"/>
        </w:rPr>
        <w:t xml:space="preserve"> укласти з організацією колективного управління, яка здійснює управління майновими правами у відповідній сфері, договір про використання об’єктів авторського права і (або) суміжних прав. </w:t>
      </w:r>
    </w:p>
    <w:p w14:paraId="7393E0EC" w14:textId="6877DBC1" w:rsidR="000B4D0E" w:rsidRPr="002D394C" w:rsidRDefault="000B4D0E" w:rsidP="00344401">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 xml:space="preserve"> Колективне управління майновими правами суб’єктів авторського права і (або) суміжних прав здійснюють </w:t>
      </w:r>
      <w:r w:rsidR="00663F01" w:rsidRPr="002D394C">
        <w:rPr>
          <w:rFonts w:ascii="Times New Roman" w:eastAsia="Times New Roman" w:hAnsi="Times New Roman" w:cs="Times New Roman"/>
          <w:color w:val="000000" w:themeColor="text1"/>
          <w:sz w:val="28"/>
          <w:szCs w:val="28"/>
          <w:lang w:val="uk-UA"/>
        </w:rPr>
        <w:t xml:space="preserve">виключно </w:t>
      </w:r>
      <w:r w:rsidRPr="002D394C">
        <w:rPr>
          <w:rFonts w:ascii="Times New Roman" w:eastAsia="Times New Roman" w:hAnsi="Times New Roman" w:cs="Times New Roman"/>
          <w:color w:val="000000" w:themeColor="text1"/>
          <w:sz w:val="28"/>
          <w:szCs w:val="28"/>
          <w:lang w:val="uk-UA"/>
        </w:rPr>
        <w:t xml:space="preserve">зареєстровані та акредитовані у відповідній сфері організації колективного управління, які </w:t>
      </w:r>
      <w:r w:rsidR="00663F01" w:rsidRPr="002D394C">
        <w:rPr>
          <w:rFonts w:ascii="Times New Roman" w:eastAsia="Times New Roman" w:hAnsi="Times New Roman" w:cs="Times New Roman"/>
          <w:color w:val="000000" w:themeColor="text1"/>
          <w:sz w:val="28"/>
          <w:szCs w:val="28"/>
          <w:lang w:val="uk-UA"/>
        </w:rPr>
        <w:t xml:space="preserve">є неприбутковими організаціями </w:t>
      </w:r>
      <w:r w:rsidR="0094407F" w:rsidRPr="002D394C">
        <w:rPr>
          <w:rFonts w:ascii="Times New Roman" w:eastAsia="Times New Roman" w:hAnsi="Times New Roman" w:cs="Times New Roman"/>
          <w:color w:val="000000" w:themeColor="text1"/>
          <w:sz w:val="28"/>
          <w:szCs w:val="28"/>
          <w:lang w:val="uk-UA"/>
        </w:rPr>
        <w:t xml:space="preserve">відповідно до Закону </w:t>
      </w:r>
      <w:r w:rsidR="00663F01" w:rsidRPr="002D394C">
        <w:rPr>
          <w:rFonts w:ascii="Times New Roman" w:eastAsia="Times New Roman" w:hAnsi="Times New Roman" w:cs="Times New Roman"/>
          <w:color w:val="000000" w:themeColor="text1"/>
          <w:sz w:val="28"/>
          <w:szCs w:val="28"/>
          <w:lang w:val="uk-UA"/>
        </w:rPr>
        <w:t xml:space="preserve">та </w:t>
      </w:r>
      <w:r w:rsidRPr="002D394C">
        <w:rPr>
          <w:rFonts w:ascii="Times New Roman" w:eastAsia="Times New Roman" w:hAnsi="Times New Roman" w:cs="Times New Roman"/>
          <w:color w:val="000000" w:themeColor="text1"/>
          <w:sz w:val="28"/>
          <w:szCs w:val="28"/>
          <w:lang w:val="uk-UA"/>
        </w:rPr>
        <w:t>утворю</w:t>
      </w:r>
      <w:r w:rsidR="004A5399">
        <w:rPr>
          <w:rFonts w:ascii="Times New Roman" w:eastAsia="Times New Roman" w:hAnsi="Times New Roman" w:cs="Times New Roman"/>
          <w:color w:val="000000" w:themeColor="text1"/>
          <w:sz w:val="28"/>
          <w:szCs w:val="28"/>
          <w:lang w:val="uk-UA"/>
        </w:rPr>
        <w:t>ю</w:t>
      </w:r>
      <w:r w:rsidRPr="002D394C">
        <w:rPr>
          <w:rFonts w:ascii="Times New Roman" w:eastAsia="Times New Roman" w:hAnsi="Times New Roman" w:cs="Times New Roman"/>
          <w:color w:val="000000" w:themeColor="text1"/>
          <w:sz w:val="28"/>
          <w:szCs w:val="28"/>
          <w:lang w:val="uk-UA"/>
        </w:rPr>
        <w:t xml:space="preserve">ться в організаційно-правовій формі громадського об’єднання (громадська організація або громадська спілка) зі статусом юридичної особи, </w:t>
      </w:r>
      <w:r w:rsidR="0094407F" w:rsidRPr="002D394C">
        <w:rPr>
          <w:rFonts w:ascii="Times New Roman" w:eastAsia="Times New Roman" w:hAnsi="Times New Roman" w:cs="Times New Roman"/>
          <w:color w:val="000000" w:themeColor="text1"/>
          <w:sz w:val="28"/>
          <w:szCs w:val="28"/>
          <w:lang w:val="uk-UA"/>
        </w:rPr>
        <w:t>виключним</w:t>
      </w:r>
      <w:r w:rsidRPr="002D394C">
        <w:rPr>
          <w:rFonts w:ascii="Times New Roman" w:eastAsia="Times New Roman" w:hAnsi="Times New Roman" w:cs="Times New Roman"/>
          <w:color w:val="000000" w:themeColor="text1"/>
          <w:sz w:val="28"/>
          <w:szCs w:val="28"/>
          <w:lang w:val="uk-UA"/>
        </w:rPr>
        <w:t xml:space="preserve"> видом діяльності якої є виконання завдань і функцій, визначених </w:t>
      </w:r>
      <w:hyperlink r:id="rId8" w:anchor="n218" w:history="1">
        <w:r w:rsidRPr="002D394C">
          <w:rPr>
            <w:rFonts w:ascii="Times New Roman" w:eastAsia="Times New Roman" w:hAnsi="Times New Roman" w:cs="Times New Roman"/>
            <w:color w:val="000000" w:themeColor="text1"/>
            <w:sz w:val="28"/>
            <w:szCs w:val="28"/>
            <w:lang w:val="uk-UA"/>
          </w:rPr>
          <w:t>статтею 12</w:t>
        </w:r>
      </w:hyperlink>
      <w:r w:rsidRPr="002D394C">
        <w:rPr>
          <w:rFonts w:ascii="Times New Roman" w:eastAsia="Times New Roman" w:hAnsi="Times New Roman" w:cs="Times New Roman"/>
          <w:color w:val="000000" w:themeColor="text1"/>
          <w:sz w:val="28"/>
          <w:szCs w:val="28"/>
          <w:lang w:val="uk-UA"/>
        </w:rPr>
        <w:t> цього Закону</w:t>
      </w:r>
      <w:r w:rsidR="008E5341" w:rsidRPr="002D394C">
        <w:rPr>
          <w:rFonts w:ascii="Times New Roman" w:eastAsia="Times New Roman" w:hAnsi="Times New Roman" w:cs="Times New Roman"/>
          <w:color w:val="000000" w:themeColor="text1"/>
          <w:sz w:val="28"/>
          <w:szCs w:val="28"/>
          <w:lang w:val="uk-UA"/>
        </w:rPr>
        <w:t>.</w:t>
      </w:r>
    </w:p>
    <w:p w14:paraId="0B28C309" w14:textId="77777777" w:rsidR="000B4D0E" w:rsidRPr="002D394C" w:rsidRDefault="0094407F" w:rsidP="000B4D0E">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К</w:t>
      </w:r>
      <w:r w:rsidR="000B4D0E" w:rsidRPr="002D394C">
        <w:rPr>
          <w:rFonts w:ascii="Times New Roman" w:eastAsia="Times New Roman" w:hAnsi="Times New Roman" w:cs="Times New Roman"/>
          <w:color w:val="000000" w:themeColor="text1"/>
          <w:sz w:val="28"/>
          <w:szCs w:val="28"/>
          <w:lang w:val="uk-UA"/>
        </w:rPr>
        <w:t>ористувач</w:t>
      </w:r>
      <w:r w:rsidR="00F17F2C" w:rsidRPr="002D394C">
        <w:rPr>
          <w:rFonts w:ascii="Times New Roman" w:eastAsia="Times New Roman" w:hAnsi="Times New Roman" w:cs="Times New Roman"/>
          <w:color w:val="000000" w:themeColor="text1"/>
          <w:sz w:val="28"/>
          <w:szCs w:val="28"/>
          <w:lang w:val="uk-UA"/>
        </w:rPr>
        <w:t>ем є</w:t>
      </w:r>
      <w:r w:rsidR="000B4D0E" w:rsidRPr="002D394C">
        <w:rPr>
          <w:rFonts w:ascii="Times New Roman" w:eastAsia="Times New Roman" w:hAnsi="Times New Roman" w:cs="Times New Roman"/>
          <w:color w:val="000000" w:themeColor="text1"/>
          <w:sz w:val="28"/>
          <w:szCs w:val="28"/>
          <w:lang w:val="uk-UA"/>
        </w:rPr>
        <w:t xml:space="preserve"> будь-яка юридична особа, фізична особа, фізична особа - підприємець, яка вчиняє дії, що відповідно до </w:t>
      </w:r>
      <w:hyperlink r:id="rId9" w:tgtFrame="_blank" w:history="1">
        <w:r w:rsidR="000B4D0E" w:rsidRPr="002D394C">
          <w:rPr>
            <w:rFonts w:ascii="Times New Roman" w:eastAsia="Times New Roman" w:hAnsi="Times New Roman" w:cs="Times New Roman"/>
            <w:color w:val="000000" w:themeColor="text1"/>
            <w:sz w:val="28"/>
            <w:szCs w:val="28"/>
            <w:lang w:val="uk-UA"/>
          </w:rPr>
          <w:t>Закону України</w:t>
        </w:r>
      </w:hyperlink>
      <w:r w:rsidR="000B4D0E" w:rsidRPr="002D394C">
        <w:rPr>
          <w:rFonts w:ascii="Times New Roman" w:eastAsia="Times New Roman" w:hAnsi="Times New Roman" w:cs="Times New Roman"/>
          <w:color w:val="000000" w:themeColor="text1"/>
          <w:sz w:val="28"/>
          <w:szCs w:val="28"/>
          <w:lang w:val="uk-UA"/>
        </w:rPr>
        <w:t> "Про авторське право і суміжні права"</w:t>
      </w:r>
      <w:r w:rsidR="00663F01" w:rsidRPr="002D394C">
        <w:rPr>
          <w:rFonts w:ascii="Times New Roman" w:eastAsia="Times New Roman" w:hAnsi="Times New Roman" w:cs="Times New Roman"/>
          <w:color w:val="000000" w:themeColor="text1"/>
          <w:sz w:val="28"/>
          <w:szCs w:val="28"/>
          <w:lang w:val="uk-UA"/>
        </w:rPr>
        <w:t xml:space="preserve"> </w:t>
      </w:r>
      <w:r w:rsidR="000B4D0E" w:rsidRPr="002D394C">
        <w:rPr>
          <w:rFonts w:ascii="Times New Roman" w:eastAsia="Times New Roman" w:hAnsi="Times New Roman" w:cs="Times New Roman"/>
          <w:color w:val="000000" w:themeColor="text1"/>
          <w:sz w:val="28"/>
          <w:szCs w:val="28"/>
          <w:lang w:val="uk-UA"/>
        </w:rPr>
        <w:t>вимагають отримання згоди від суб’єктів авторського права і (або) суміжних прав, або яка іншим чином повинна виплатити винагороду</w:t>
      </w:r>
      <w:r w:rsidR="008E5341" w:rsidRPr="002D394C">
        <w:rPr>
          <w:rFonts w:ascii="Times New Roman" w:eastAsia="Times New Roman" w:hAnsi="Times New Roman" w:cs="Times New Roman"/>
          <w:color w:val="000000" w:themeColor="text1"/>
          <w:sz w:val="28"/>
          <w:szCs w:val="28"/>
          <w:lang w:val="uk-UA"/>
        </w:rPr>
        <w:t xml:space="preserve"> чи відрахування правовласникам.</w:t>
      </w:r>
    </w:p>
    <w:p w14:paraId="35CEE924" w14:textId="77777777" w:rsidR="001E61D6" w:rsidRPr="002D394C" w:rsidRDefault="0094407F" w:rsidP="00E458AA">
      <w:pPr>
        <w:ind w:firstLine="567"/>
        <w:jc w:val="both"/>
        <w:rPr>
          <w:rFonts w:ascii="Times New Roman" w:eastAsia="Times New Roman" w:hAnsi="Times New Roman" w:cs="Times New Roman"/>
          <w:color w:val="000000" w:themeColor="text1"/>
          <w:sz w:val="28"/>
          <w:szCs w:val="28"/>
          <w:lang w:val="uk-UA"/>
        </w:rPr>
      </w:pPr>
      <w:bookmarkStart w:id="0" w:name="n406"/>
      <w:bookmarkStart w:id="1" w:name="n407"/>
      <w:bookmarkEnd w:id="0"/>
      <w:bookmarkEnd w:id="1"/>
      <w:r w:rsidRPr="002D394C">
        <w:rPr>
          <w:rFonts w:ascii="Times New Roman" w:eastAsia="Times New Roman" w:hAnsi="Times New Roman" w:cs="Times New Roman"/>
          <w:color w:val="000000" w:themeColor="text1"/>
          <w:sz w:val="28"/>
          <w:szCs w:val="28"/>
          <w:lang w:val="uk-UA"/>
        </w:rPr>
        <w:t>В</w:t>
      </w:r>
      <w:r w:rsidR="00663F01" w:rsidRPr="002D394C">
        <w:rPr>
          <w:rFonts w:ascii="Times New Roman" w:eastAsia="Times New Roman" w:hAnsi="Times New Roman" w:cs="Times New Roman"/>
          <w:color w:val="000000" w:themeColor="text1"/>
          <w:sz w:val="28"/>
          <w:szCs w:val="28"/>
          <w:lang w:val="uk-UA"/>
        </w:rPr>
        <w:t xml:space="preserve">ідповідно до приписів </w:t>
      </w:r>
      <w:r w:rsidR="001E61D6" w:rsidRPr="002D394C">
        <w:rPr>
          <w:rFonts w:ascii="Times New Roman" w:eastAsia="Times New Roman" w:hAnsi="Times New Roman" w:cs="Times New Roman"/>
          <w:color w:val="000000" w:themeColor="text1"/>
          <w:sz w:val="28"/>
          <w:szCs w:val="28"/>
          <w:lang w:val="uk-UA"/>
        </w:rPr>
        <w:t>пункту 140.5. ст</w:t>
      </w:r>
      <w:r w:rsidR="00F13B3A" w:rsidRPr="002D394C">
        <w:rPr>
          <w:rFonts w:ascii="Times New Roman" w:eastAsia="Times New Roman" w:hAnsi="Times New Roman" w:cs="Times New Roman"/>
          <w:color w:val="000000" w:themeColor="text1"/>
          <w:sz w:val="28"/>
          <w:szCs w:val="28"/>
          <w:lang w:val="uk-UA"/>
        </w:rPr>
        <w:t>атті</w:t>
      </w:r>
      <w:r w:rsidR="001E61D6" w:rsidRPr="002D394C">
        <w:rPr>
          <w:rFonts w:ascii="Times New Roman" w:eastAsia="Times New Roman" w:hAnsi="Times New Roman" w:cs="Times New Roman"/>
          <w:color w:val="000000" w:themeColor="text1"/>
          <w:sz w:val="28"/>
          <w:szCs w:val="28"/>
          <w:lang w:val="uk-UA"/>
        </w:rPr>
        <w:t xml:space="preserve"> 140 Податкового кодексу України</w:t>
      </w:r>
      <w:r w:rsidR="007167F8" w:rsidRPr="002D394C">
        <w:rPr>
          <w:rFonts w:ascii="Times New Roman" w:eastAsia="Times New Roman" w:hAnsi="Times New Roman" w:cs="Times New Roman"/>
          <w:color w:val="000000" w:themeColor="text1"/>
          <w:sz w:val="28"/>
          <w:szCs w:val="28"/>
          <w:lang w:val="uk-UA"/>
        </w:rPr>
        <w:t>,</w:t>
      </w:r>
      <w:r w:rsidR="001E61D6" w:rsidRPr="002D394C">
        <w:rPr>
          <w:rFonts w:ascii="Times New Roman" w:eastAsia="Times New Roman" w:hAnsi="Times New Roman" w:cs="Times New Roman"/>
          <w:color w:val="000000" w:themeColor="text1"/>
          <w:sz w:val="28"/>
          <w:szCs w:val="28"/>
          <w:lang w:val="uk-UA"/>
        </w:rPr>
        <w:t xml:space="preserve"> користувач повинен фінансовий результат податкового (звітного) періоду збільшити, зокрема, на суму витрат по нарахуванню роялті у повному обсязі, якщо роялті нараховані на користь юридичної особи, яка відповідно до цього Кодексу звільнена від сплати цього податку чи сплачує цей податок за ставкою, іншою, ніж встановлена в </w:t>
      </w:r>
      <w:hyperlink r:id="rId10" w:anchor="n10643" w:history="1">
        <w:r w:rsidR="001E61D6" w:rsidRPr="002D394C">
          <w:rPr>
            <w:rFonts w:ascii="Times New Roman" w:eastAsia="Times New Roman" w:hAnsi="Times New Roman" w:cs="Times New Roman"/>
            <w:color w:val="000000" w:themeColor="text1"/>
            <w:sz w:val="28"/>
            <w:szCs w:val="28"/>
            <w:lang w:val="uk-UA"/>
          </w:rPr>
          <w:t>пункті 136.1</w:t>
        </w:r>
      </w:hyperlink>
      <w:r w:rsidR="001E61D6" w:rsidRPr="002D394C">
        <w:rPr>
          <w:rFonts w:ascii="Times New Roman" w:eastAsia="Times New Roman" w:hAnsi="Times New Roman" w:cs="Times New Roman"/>
          <w:color w:val="000000" w:themeColor="text1"/>
          <w:sz w:val="28"/>
          <w:szCs w:val="28"/>
          <w:lang w:val="uk-UA"/>
        </w:rPr>
        <w:t> статті 136 цього Кодексу (підпункт 140.5.7 пункту 140.5 ст</w:t>
      </w:r>
      <w:r w:rsidR="00F13B3A" w:rsidRPr="002D394C">
        <w:rPr>
          <w:rFonts w:ascii="Times New Roman" w:eastAsia="Times New Roman" w:hAnsi="Times New Roman" w:cs="Times New Roman"/>
          <w:color w:val="000000" w:themeColor="text1"/>
          <w:sz w:val="28"/>
          <w:szCs w:val="28"/>
          <w:lang w:val="uk-UA"/>
        </w:rPr>
        <w:t>атті</w:t>
      </w:r>
      <w:r w:rsidR="001E61D6" w:rsidRPr="002D394C">
        <w:rPr>
          <w:rFonts w:ascii="Times New Roman" w:eastAsia="Times New Roman" w:hAnsi="Times New Roman" w:cs="Times New Roman"/>
          <w:color w:val="000000" w:themeColor="text1"/>
          <w:sz w:val="28"/>
          <w:szCs w:val="28"/>
          <w:lang w:val="uk-UA"/>
        </w:rPr>
        <w:t xml:space="preserve"> 140).</w:t>
      </w:r>
    </w:p>
    <w:p w14:paraId="5DD2DEBF" w14:textId="77777777" w:rsidR="00EF5EC8" w:rsidRPr="002D394C" w:rsidRDefault="00EF5EC8" w:rsidP="00E458AA">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 xml:space="preserve">Що стосується користувачів </w:t>
      </w:r>
      <w:r w:rsidR="006C3969" w:rsidRPr="002D394C">
        <w:rPr>
          <w:rFonts w:ascii="Times New Roman" w:eastAsia="Times New Roman" w:hAnsi="Times New Roman" w:cs="Times New Roman"/>
          <w:color w:val="000000" w:themeColor="text1"/>
          <w:sz w:val="28"/>
          <w:szCs w:val="28"/>
          <w:lang w:val="uk-UA"/>
        </w:rPr>
        <w:t>фізичних осіб-підприємців</w:t>
      </w:r>
      <w:r w:rsidRPr="002D394C">
        <w:rPr>
          <w:rFonts w:ascii="Times New Roman" w:eastAsia="Times New Roman" w:hAnsi="Times New Roman" w:cs="Times New Roman"/>
          <w:color w:val="000000" w:themeColor="text1"/>
          <w:sz w:val="28"/>
          <w:szCs w:val="28"/>
          <w:lang w:val="uk-UA"/>
        </w:rPr>
        <w:t xml:space="preserve">, то вони не </w:t>
      </w:r>
      <w:r w:rsidR="0094407F" w:rsidRPr="002D394C">
        <w:rPr>
          <w:rFonts w:ascii="Times New Roman" w:eastAsia="Times New Roman" w:hAnsi="Times New Roman" w:cs="Times New Roman"/>
          <w:color w:val="000000" w:themeColor="text1"/>
          <w:sz w:val="28"/>
          <w:szCs w:val="28"/>
          <w:lang w:val="uk-UA"/>
        </w:rPr>
        <w:t xml:space="preserve">мають можливості </w:t>
      </w:r>
      <w:r w:rsidR="00D44DBC" w:rsidRPr="002D394C">
        <w:rPr>
          <w:rFonts w:ascii="Times New Roman" w:eastAsia="Times New Roman" w:hAnsi="Times New Roman" w:cs="Times New Roman"/>
          <w:color w:val="000000" w:themeColor="text1"/>
          <w:sz w:val="28"/>
          <w:szCs w:val="28"/>
          <w:lang w:val="uk-UA"/>
        </w:rPr>
        <w:t xml:space="preserve">сплачені </w:t>
      </w:r>
      <w:r w:rsidRPr="002D394C">
        <w:rPr>
          <w:rFonts w:ascii="Times New Roman" w:eastAsia="Times New Roman" w:hAnsi="Times New Roman" w:cs="Times New Roman"/>
          <w:color w:val="000000" w:themeColor="text1"/>
          <w:sz w:val="28"/>
          <w:szCs w:val="28"/>
          <w:lang w:val="uk-UA"/>
        </w:rPr>
        <w:t>роял</w:t>
      </w:r>
      <w:r w:rsidR="0094407F" w:rsidRPr="002D394C">
        <w:rPr>
          <w:rFonts w:ascii="Times New Roman" w:eastAsia="Times New Roman" w:hAnsi="Times New Roman" w:cs="Times New Roman"/>
          <w:color w:val="000000" w:themeColor="text1"/>
          <w:sz w:val="28"/>
          <w:szCs w:val="28"/>
          <w:lang w:val="uk-UA"/>
        </w:rPr>
        <w:t>т</w:t>
      </w:r>
      <w:r w:rsidRPr="002D394C">
        <w:rPr>
          <w:rFonts w:ascii="Times New Roman" w:eastAsia="Times New Roman" w:hAnsi="Times New Roman" w:cs="Times New Roman"/>
          <w:color w:val="000000" w:themeColor="text1"/>
          <w:sz w:val="28"/>
          <w:szCs w:val="28"/>
          <w:lang w:val="uk-UA"/>
        </w:rPr>
        <w:t xml:space="preserve">і віднести в повній мірі до витрат, безпосередньо </w:t>
      </w:r>
      <w:r w:rsidRPr="002D394C">
        <w:rPr>
          <w:rFonts w:ascii="Times New Roman" w:eastAsia="Times New Roman" w:hAnsi="Times New Roman" w:cs="Times New Roman"/>
          <w:color w:val="000000" w:themeColor="text1"/>
          <w:sz w:val="28"/>
          <w:szCs w:val="28"/>
          <w:lang w:val="uk-UA"/>
        </w:rPr>
        <w:lastRenderedPageBreak/>
        <w:t xml:space="preserve">пов’язаних з отриманням доходів, </w:t>
      </w:r>
      <w:r w:rsidR="0094407F" w:rsidRPr="002D394C">
        <w:rPr>
          <w:rFonts w:ascii="Times New Roman" w:eastAsia="Times New Roman" w:hAnsi="Times New Roman" w:cs="Times New Roman"/>
          <w:color w:val="000000" w:themeColor="text1"/>
          <w:sz w:val="28"/>
          <w:szCs w:val="28"/>
          <w:lang w:val="uk-UA"/>
        </w:rPr>
        <w:t>оскільки</w:t>
      </w:r>
      <w:r w:rsidRPr="002D394C">
        <w:rPr>
          <w:rFonts w:ascii="Times New Roman" w:eastAsia="Times New Roman" w:hAnsi="Times New Roman" w:cs="Times New Roman"/>
          <w:color w:val="000000" w:themeColor="text1"/>
          <w:sz w:val="28"/>
          <w:szCs w:val="28"/>
          <w:lang w:val="uk-UA"/>
        </w:rPr>
        <w:t xml:space="preserve"> ст</w:t>
      </w:r>
      <w:r w:rsidR="00F13B3A" w:rsidRPr="002D394C">
        <w:rPr>
          <w:rFonts w:ascii="Times New Roman" w:eastAsia="Times New Roman" w:hAnsi="Times New Roman" w:cs="Times New Roman"/>
          <w:color w:val="000000" w:themeColor="text1"/>
          <w:sz w:val="28"/>
          <w:szCs w:val="28"/>
          <w:lang w:val="uk-UA"/>
        </w:rPr>
        <w:t>аття</w:t>
      </w:r>
      <w:r w:rsidR="008A4DBC" w:rsidRPr="002D394C">
        <w:rPr>
          <w:rFonts w:ascii="Times New Roman" w:eastAsia="Times New Roman" w:hAnsi="Times New Roman" w:cs="Times New Roman"/>
          <w:color w:val="000000" w:themeColor="text1"/>
          <w:sz w:val="28"/>
          <w:szCs w:val="28"/>
          <w:lang w:val="uk-UA"/>
        </w:rPr>
        <w:t xml:space="preserve"> </w:t>
      </w:r>
      <w:r w:rsidRPr="002D394C">
        <w:rPr>
          <w:rFonts w:ascii="Times New Roman" w:eastAsia="Times New Roman" w:hAnsi="Times New Roman" w:cs="Times New Roman"/>
          <w:color w:val="000000" w:themeColor="text1"/>
          <w:sz w:val="28"/>
          <w:szCs w:val="28"/>
          <w:lang w:val="uk-UA"/>
        </w:rPr>
        <w:t>177 Податкового кодексу України не передбачає такого виду витрат.</w:t>
      </w:r>
    </w:p>
    <w:p w14:paraId="7DB828F7" w14:textId="77777777" w:rsidR="001E61D6" w:rsidRPr="002D394C" w:rsidRDefault="001E61D6" w:rsidP="00E458AA">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Враховуючи те, що користувач здійснює перерахування винагороди правовласникам через організації колективного управління, які мають статус неприбуткових організацій та акредитовані по одній в кожній зі сфер управління, то такі витрати</w:t>
      </w:r>
      <w:r w:rsidR="007167F8" w:rsidRPr="002D394C">
        <w:rPr>
          <w:rFonts w:ascii="Times New Roman" w:eastAsia="Times New Roman" w:hAnsi="Times New Roman" w:cs="Times New Roman"/>
          <w:color w:val="000000" w:themeColor="text1"/>
          <w:sz w:val="28"/>
          <w:szCs w:val="28"/>
          <w:lang w:val="uk-UA"/>
        </w:rPr>
        <w:t xml:space="preserve"> в повному обсязі</w:t>
      </w:r>
      <w:r w:rsidRPr="002D394C">
        <w:rPr>
          <w:rFonts w:ascii="Times New Roman" w:eastAsia="Times New Roman" w:hAnsi="Times New Roman" w:cs="Times New Roman"/>
          <w:color w:val="000000" w:themeColor="text1"/>
          <w:sz w:val="28"/>
          <w:szCs w:val="28"/>
          <w:lang w:val="uk-UA"/>
        </w:rPr>
        <w:t xml:space="preserve">, </w:t>
      </w:r>
      <w:r w:rsidR="007167F8" w:rsidRPr="002D394C">
        <w:rPr>
          <w:rFonts w:ascii="Times New Roman" w:eastAsia="Times New Roman" w:hAnsi="Times New Roman" w:cs="Times New Roman"/>
          <w:color w:val="000000" w:themeColor="text1"/>
          <w:sz w:val="28"/>
          <w:szCs w:val="28"/>
          <w:lang w:val="uk-UA"/>
        </w:rPr>
        <w:t>мають через коригування на таку фінансову різницю збільшити фінансовий результат користувача.</w:t>
      </w:r>
    </w:p>
    <w:p w14:paraId="1D0874EF" w14:textId="77777777" w:rsidR="0094407F" w:rsidRPr="002D394C" w:rsidRDefault="0094407F" w:rsidP="0094407F">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Тобто, виникла ситуація, коли в силу Закону, користувачі:</w:t>
      </w:r>
    </w:p>
    <w:p w14:paraId="687AA932" w14:textId="77777777" w:rsidR="0094407F" w:rsidRPr="002D394C" w:rsidRDefault="0094407F" w:rsidP="0094407F">
      <w:pPr>
        <w:pStyle w:val="a7"/>
        <w:numPr>
          <w:ilvl w:val="0"/>
          <w:numId w:val="7"/>
        </w:numPr>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позбавлені  самостійного вибору контрагента для здійснення виплати винагороди правовласникам об’єктів авторського права і (або) суміжних прав;</w:t>
      </w:r>
    </w:p>
    <w:p w14:paraId="44B9E218" w14:textId="77777777" w:rsidR="0094407F" w:rsidRPr="002D394C" w:rsidRDefault="0094407F" w:rsidP="0094407F">
      <w:pPr>
        <w:pStyle w:val="a7"/>
        <w:numPr>
          <w:ilvl w:val="0"/>
          <w:numId w:val="7"/>
        </w:numPr>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зобов’язані виплати здійснювати виключно через єдину акредитовану у визначеній сфері організації колективного управління.</w:t>
      </w:r>
    </w:p>
    <w:p w14:paraId="2A238105" w14:textId="77777777" w:rsidR="0094407F" w:rsidRPr="002D394C" w:rsidRDefault="0094407F" w:rsidP="0094407F">
      <w:pPr>
        <w:pStyle w:val="a7"/>
        <w:numPr>
          <w:ilvl w:val="0"/>
          <w:numId w:val="7"/>
        </w:numPr>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не можуть визначати розмір платежу, оскільки він визначається за особливою процедурою відповідно до Закону та є однаковим для всіх користувачів.</w:t>
      </w:r>
    </w:p>
    <w:p w14:paraId="2F196F8A" w14:textId="77777777" w:rsidR="00663F01" w:rsidRPr="002D394C" w:rsidRDefault="00663F01" w:rsidP="00E458AA">
      <w:pPr>
        <w:ind w:firstLine="567"/>
        <w:jc w:val="both"/>
        <w:rPr>
          <w:rFonts w:ascii="Times New Roman" w:eastAsia="Times New Roman" w:hAnsi="Times New Roman" w:cs="Times New Roman"/>
          <w:b/>
          <w:color w:val="000000" w:themeColor="text1"/>
          <w:sz w:val="28"/>
          <w:szCs w:val="28"/>
          <w:lang w:val="uk-UA"/>
        </w:rPr>
      </w:pPr>
      <w:r w:rsidRPr="002D394C">
        <w:rPr>
          <w:rFonts w:ascii="Times New Roman" w:eastAsia="Times New Roman" w:hAnsi="Times New Roman" w:cs="Times New Roman"/>
          <w:b/>
          <w:color w:val="000000" w:themeColor="text1"/>
          <w:sz w:val="28"/>
          <w:szCs w:val="28"/>
          <w:lang w:val="uk-UA"/>
        </w:rPr>
        <w:t xml:space="preserve">З огляду на </w:t>
      </w:r>
      <w:r w:rsidR="0094407F" w:rsidRPr="002D394C">
        <w:rPr>
          <w:rFonts w:ascii="Times New Roman" w:eastAsia="Times New Roman" w:hAnsi="Times New Roman" w:cs="Times New Roman"/>
          <w:b/>
          <w:color w:val="000000" w:themeColor="text1"/>
          <w:sz w:val="28"/>
          <w:szCs w:val="28"/>
          <w:lang w:val="uk-UA"/>
        </w:rPr>
        <w:t>вищенаведене,</w:t>
      </w:r>
      <w:r w:rsidR="008A4DBC" w:rsidRPr="002D394C">
        <w:rPr>
          <w:rFonts w:ascii="Times New Roman" w:eastAsia="Times New Roman" w:hAnsi="Times New Roman" w:cs="Times New Roman"/>
          <w:b/>
          <w:color w:val="000000" w:themeColor="text1"/>
          <w:sz w:val="28"/>
          <w:szCs w:val="28"/>
          <w:lang w:val="uk-UA"/>
        </w:rPr>
        <w:t xml:space="preserve"> умови оподаткування</w:t>
      </w:r>
      <w:r w:rsidR="0094407F" w:rsidRPr="002D394C">
        <w:rPr>
          <w:rFonts w:ascii="Times New Roman" w:eastAsia="Times New Roman" w:hAnsi="Times New Roman" w:cs="Times New Roman"/>
          <w:b/>
          <w:color w:val="000000" w:themeColor="text1"/>
          <w:sz w:val="28"/>
          <w:szCs w:val="28"/>
          <w:lang w:val="uk-UA"/>
        </w:rPr>
        <w:t xml:space="preserve"> сплати винагороди правовласникам</w:t>
      </w:r>
      <w:r w:rsidR="008A4DBC" w:rsidRPr="002D394C">
        <w:rPr>
          <w:rFonts w:ascii="Times New Roman" w:eastAsia="Times New Roman" w:hAnsi="Times New Roman" w:cs="Times New Roman"/>
          <w:b/>
          <w:color w:val="000000" w:themeColor="text1"/>
          <w:sz w:val="28"/>
          <w:szCs w:val="28"/>
          <w:lang w:val="uk-UA"/>
        </w:rPr>
        <w:t xml:space="preserve"> відповідно до законодавства про ефективне управління майновими правами правовласників у сфері авторського права і (або) суміжних прав </w:t>
      </w:r>
      <w:r w:rsidR="0094407F" w:rsidRPr="002D394C">
        <w:rPr>
          <w:rFonts w:ascii="Times New Roman" w:eastAsia="Times New Roman" w:hAnsi="Times New Roman" w:cs="Times New Roman"/>
          <w:b/>
          <w:color w:val="000000" w:themeColor="text1"/>
          <w:sz w:val="28"/>
          <w:szCs w:val="28"/>
          <w:lang w:val="uk-UA"/>
        </w:rPr>
        <w:t xml:space="preserve">є </w:t>
      </w:r>
      <w:r w:rsidRPr="002D394C">
        <w:rPr>
          <w:rFonts w:ascii="Times New Roman" w:eastAsia="Times New Roman" w:hAnsi="Times New Roman" w:cs="Times New Roman"/>
          <w:b/>
          <w:color w:val="000000" w:themeColor="text1"/>
          <w:sz w:val="28"/>
          <w:szCs w:val="28"/>
          <w:lang w:val="uk-UA"/>
        </w:rPr>
        <w:t>дискримінаційним</w:t>
      </w:r>
      <w:r w:rsidRPr="007C5B28">
        <w:rPr>
          <w:rFonts w:ascii="Times New Roman" w:eastAsia="Times New Roman" w:hAnsi="Times New Roman" w:cs="Times New Roman"/>
          <w:b/>
          <w:color w:val="000000" w:themeColor="text1"/>
          <w:sz w:val="28"/>
          <w:szCs w:val="28"/>
          <w:lang w:val="uk-UA"/>
        </w:rPr>
        <w:t xml:space="preserve"> </w:t>
      </w:r>
      <w:r w:rsidRPr="002D394C">
        <w:rPr>
          <w:rFonts w:ascii="Times New Roman" w:eastAsia="Times New Roman" w:hAnsi="Times New Roman" w:cs="Times New Roman"/>
          <w:b/>
          <w:color w:val="000000" w:themeColor="text1"/>
          <w:sz w:val="28"/>
          <w:szCs w:val="28"/>
          <w:lang w:val="uk-UA"/>
        </w:rPr>
        <w:t xml:space="preserve">та має </w:t>
      </w:r>
      <w:r w:rsidR="00BA3FF8" w:rsidRPr="002D394C">
        <w:rPr>
          <w:rFonts w:ascii="Times New Roman" w:eastAsia="Times New Roman" w:hAnsi="Times New Roman" w:cs="Times New Roman"/>
          <w:b/>
          <w:color w:val="000000" w:themeColor="text1"/>
          <w:sz w:val="28"/>
          <w:szCs w:val="28"/>
          <w:lang w:val="uk-UA"/>
        </w:rPr>
        <w:t xml:space="preserve">бути </w:t>
      </w:r>
      <w:r w:rsidRPr="002D394C">
        <w:rPr>
          <w:rFonts w:ascii="Times New Roman" w:eastAsia="Times New Roman" w:hAnsi="Times New Roman" w:cs="Times New Roman"/>
          <w:b/>
          <w:color w:val="000000" w:themeColor="text1"/>
          <w:sz w:val="28"/>
          <w:szCs w:val="28"/>
          <w:lang w:val="uk-UA"/>
        </w:rPr>
        <w:t>скориговане.</w:t>
      </w:r>
    </w:p>
    <w:p w14:paraId="7DD8C8FC" w14:textId="77777777" w:rsidR="00663F01" w:rsidRPr="002D394C" w:rsidRDefault="00663F01" w:rsidP="00663F01">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Вищезазначені недоліки ускладнюють взаємодію правовласників об’єктів авторського права і (або) суміжних прав, організацій колективного управління та платників  роялті на користь організацій колективного управління, що здійснюють свою діяльність відповідно до Закону України «Про ефективне управління майновими правами правовласників у сфері авторського права і (або) суміжних прав».</w:t>
      </w:r>
    </w:p>
    <w:p w14:paraId="00A3732C" w14:textId="77777777" w:rsidR="00F17F2C" w:rsidRPr="002D394C" w:rsidRDefault="00344401" w:rsidP="00E458AA">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Насамперед</w:t>
      </w:r>
      <w:r w:rsidR="000A2222" w:rsidRPr="002D394C">
        <w:rPr>
          <w:rFonts w:ascii="Times New Roman" w:eastAsia="Times New Roman" w:hAnsi="Times New Roman" w:cs="Times New Roman"/>
          <w:color w:val="000000" w:themeColor="text1"/>
          <w:sz w:val="28"/>
          <w:szCs w:val="28"/>
          <w:lang w:val="uk-UA"/>
        </w:rPr>
        <w:t>,</w:t>
      </w:r>
      <w:r w:rsidRPr="002D394C">
        <w:rPr>
          <w:rFonts w:ascii="Times New Roman" w:eastAsia="Times New Roman" w:hAnsi="Times New Roman" w:cs="Times New Roman"/>
          <w:color w:val="000000" w:themeColor="text1"/>
          <w:sz w:val="28"/>
          <w:szCs w:val="28"/>
          <w:lang w:val="uk-UA"/>
        </w:rPr>
        <w:t xml:space="preserve"> такі операції потребують уточнення </w:t>
      </w:r>
      <w:r w:rsidR="00D44DBC" w:rsidRPr="002D394C">
        <w:rPr>
          <w:rFonts w:ascii="Times New Roman" w:eastAsia="Times New Roman" w:hAnsi="Times New Roman" w:cs="Times New Roman"/>
          <w:color w:val="000000" w:themeColor="text1"/>
          <w:sz w:val="28"/>
          <w:szCs w:val="28"/>
          <w:lang w:val="uk-UA"/>
        </w:rPr>
        <w:t>у</w:t>
      </w:r>
      <w:r w:rsidRPr="002D394C">
        <w:rPr>
          <w:rFonts w:ascii="Times New Roman" w:eastAsia="Times New Roman" w:hAnsi="Times New Roman" w:cs="Times New Roman"/>
          <w:color w:val="000000" w:themeColor="text1"/>
          <w:sz w:val="28"/>
          <w:szCs w:val="28"/>
          <w:lang w:val="uk-UA"/>
        </w:rPr>
        <w:t xml:space="preserve"> переліку податкових різниць, які </w:t>
      </w:r>
      <w:r w:rsidRPr="002D394C">
        <w:rPr>
          <w:rFonts w:ascii="Times New Roman" w:eastAsia="Calibri" w:hAnsi="Times New Roman" w:cs="Times New Roman"/>
          <w:bCs/>
          <w:sz w:val="28"/>
          <w:szCs w:val="28"/>
          <w:lang w:val="uk-UA"/>
        </w:rPr>
        <w:t>виникають при здійсненні фінансових операцій та збільшують фінансовий результат платників роялті</w:t>
      </w:r>
      <w:r w:rsidRPr="002D394C">
        <w:rPr>
          <w:rFonts w:ascii="Times New Roman" w:eastAsia="Calibri" w:hAnsi="Times New Roman" w:cs="Times New Roman"/>
          <w:b/>
          <w:bCs/>
          <w:sz w:val="28"/>
          <w:szCs w:val="28"/>
          <w:lang w:val="uk-UA"/>
        </w:rPr>
        <w:t xml:space="preserve"> </w:t>
      </w:r>
      <w:r w:rsidRPr="002D394C">
        <w:rPr>
          <w:rFonts w:ascii="Times New Roman" w:eastAsia="Times New Roman" w:hAnsi="Times New Roman" w:cs="Times New Roman"/>
          <w:color w:val="000000" w:themeColor="text1"/>
          <w:sz w:val="28"/>
          <w:szCs w:val="28"/>
          <w:lang w:val="uk-UA"/>
        </w:rPr>
        <w:t>на користь організацій колективного управління, що здійснюють свою діяльність відповідно до Закону України «Про ефективне управління майновими правами правовласників у сфері авторського права і (або) суміжних прав»</w:t>
      </w:r>
      <w:r w:rsidR="00EF5EC8" w:rsidRPr="002D394C">
        <w:rPr>
          <w:rFonts w:ascii="Times New Roman" w:eastAsia="Times New Roman" w:hAnsi="Times New Roman" w:cs="Times New Roman"/>
          <w:color w:val="000000" w:themeColor="text1"/>
          <w:sz w:val="28"/>
          <w:szCs w:val="28"/>
          <w:lang w:val="uk-UA"/>
        </w:rPr>
        <w:t>, а також уточнення в переліку витрат</w:t>
      </w:r>
      <w:r w:rsidR="006C3969" w:rsidRPr="002D394C">
        <w:rPr>
          <w:rFonts w:ascii="Times New Roman" w:eastAsia="Times New Roman" w:hAnsi="Times New Roman" w:cs="Times New Roman"/>
          <w:color w:val="000000" w:themeColor="text1"/>
          <w:sz w:val="28"/>
          <w:szCs w:val="28"/>
          <w:lang w:val="uk-UA"/>
        </w:rPr>
        <w:t>,</w:t>
      </w:r>
      <w:r w:rsidR="00EF5EC8" w:rsidRPr="002D394C">
        <w:rPr>
          <w:rFonts w:ascii="Times New Roman" w:eastAsia="Times New Roman" w:hAnsi="Times New Roman" w:cs="Times New Roman"/>
          <w:color w:val="000000" w:themeColor="text1"/>
          <w:sz w:val="28"/>
          <w:szCs w:val="28"/>
          <w:lang w:val="uk-UA"/>
        </w:rPr>
        <w:t xml:space="preserve"> які визнаються і відносяться </w:t>
      </w:r>
      <w:r w:rsidR="006C3969" w:rsidRPr="002D394C">
        <w:rPr>
          <w:rFonts w:ascii="Times New Roman" w:eastAsia="Times New Roman" w:hAnsi="Times New Roman" w:cs="Times New Roman"/>
          <w:color w:val="000000" w:themeColor="text1"/>
          <w:sz w:val="28"/>
          <w:szCs w:val="28"/>
          <w:lang w:val="uk-UA"/>
        </w:rPr>
        <w:t>фізичними особами-підприємцями до</w:t>
      </w:r>
      <w:r w:rsidR="00EF5EC8" w:rsidRPr="002D394C">
        <w:rPr>
          <w:rFonts w:ascii="Times New Roman" w:eastAsia="Times New Roman" w:hAnsi="Times New Roman" w:cs="Times New Roman"/>
          <w:color w:val="000000" w:themeColor="text1"/>
          <w:sz w:val="28"/>
          <w:szCs w:val="28"/>
          <w:lang w:val="uk-UA"/>
        </w:rPr>
        <w:t xml:space="preserve"> переліку витрат, безпосередньо пов’язаних з отриманням доходів</w:t>
      </w:r>
      <w:r w:rsidRPr="002D394C">
        <w:rPr>
          <w:rFonts w:ascii="Times New Roman" w:eastAsia="Times New Roman" w:hAnsi="Times New Roman" w:cs="Times New Roman"/>
          <w:color w:val="000000" w:themeColor="text1"/>
          <w:sz w:val="28"/>
          <w:szCs w:val="28"/>
          <w:lang w:val="uk-UA"/>
        </w:rPr>
        <w:t>.</w:t>
      </w:r>
    </w:p>
    <w:p w14:paraId="198609C5" w14:textId="77777777" w:rsidR="004C071C" w:rsidRPr="002D394C" w:rsidRDefault="004C071C" w:rsidP="000A2222">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 xml:space="preserve">Також, </w:t>
      </w:r>
      <w:r w:rsidR="00247053" w:rsidRPr="002D394C">
        <w:rPr>
          <w:rFonts w:ascii="Times New Roman" w:eastAsia="Times New Roman" w:hAnsi="Times New Roman" w:cs="Times New Roman"/>
          <w:color w:val="000000" w:themeColor="text1"/>
          <w:sz w:val="28"/>
          <w:szCs w:val="28"/>
          <w:lang w:val="uk-UA"/>
        </w:rPr>
        <w:t>Закон</w:t>
      </w:r>
      <w:r w:rsidRPr="002D394C">
        <w:rPr>
          <w:rFonts w:ascii="Times New Roman" w:eastAsia="Times New Roman" w:hAnsi="Times New Roman" w:cs="Times New Roman"/>
          <w:color w:val="000000" w:themeColor="text1"/>
          <w:sz w:val="28"/>
          <w:szCs w:val="28"/>
          <w:lang w:val="uk-UA"/>
        </w:rPr>
        <w:t xml:space="preserve"> України «Про ефективне управління майновими правами правовласників у сфері авторського права і (або) суміжних прав»</w:t>
      </w:r>
      <w:r w:rsidR="00247053" w:rsidRPr="002D394C">
        <w:rPr>
          <w:rFonts w:ascii="Times New Roman" w:eastAsia="Times New Roman" w:hAnsi="Times New Roman" w:cs="Times New Roman"/>
          <w:color w:val="000000" w:themeColor="text1"/>
          <w:sz w:val="28"/>
          <w:szCs w:val="28"/>
          <w:lang w:val="uk-UA"/>
        </w:rPr>
        <w:t xml:space="preserve"> встановив, що</w:t>
      </w:r>
      <w:r w:rsidRPr="002D394C">
        <w:rPr>
          <w:rFonts w:ascii="Times New Roman" w:eastAsia="Times New Roman" w:hAnsi="Times New Roman" w:cs="Times New Roman"/>
          <w:color w:val="000000" w:themeColor="text1"/>
          <w:sz w:val="28"/>
          <w:szCs w:val="28"/>
          <w:lang w:val="uk-UA"/>
        </w:rPr>
        <w:t xml:space="preserve"> </w:t>
      </w:r>
      <w:r w:rsidR="00247053" w:rsidRPr="002D394C">
        <w:rPr>
          <w:rFonts w:ascii="Times New Roman" w:eastAsia="Times New Roman" w:hAnsi="Times New Roman" w:cs="Times New Roman"/>
          <w:color w:val="000000" w:themeColor="text1"/>
          <w:sz w:val="28"/>
          <w:szCs w:val="28"/>
          <w:lang w:val="uk-UA"/>
        </w:rPr>
        <w:t>користувач повинен</w:t>
      </w:r>
      <w:r w:rsidRPr="002D394C">
        <w:rPr>
          <w:rFonts w:ascii="Times New Roman" w:eastAsia="Times New Roman" w:hAnsi="Times New Roman" w:cs="Times New Roman"/>
          <w:color w:val="000000" w:themeColor="text1"/>
          <w:sz w:val="28"/>
          <w:szCs w:val="28"/>
          <w:lang w:val="uk-UA"/>
        </w:rPr>
        <w:t xml:space="preserve"> виплатити винагороду чи відрахування правовласникам</w:t>
      </w:r>
      <w:r w:rsidR="00247053" w:rsidRPr="002D394C">
        <w:rPr>
          <w:rFonts w:ascii="Times New Roman" w:eastAsia="Times New Roman" w:hAnsi="Times New Roman" w:cs="Times New Roman"/>
          <w:color w:val="000000" w:themeColor="text1"/>
          <w:sz w:val="28"/>
          <w:szCs w:val="28"/>
          <w:lang w:val="uk-UA"/>
        </w:rPr>
        <w:t xml:space="preserve">. Такі платежі за своєю природою та юридичним змістом є платежами роялті, але Закон </w:t>
      </w:r>
      <w:r w:rsidR="00247053" w:rsidRPr="002D394C">
        <w:rPr>
          <w:rFonts w:ascii="Times New Roman" w:eastAsia="Times New Roman" w:hAnsi="Times New Roman" w:cs="Times New Roman"/>
          <w:color w:val="000000" w:themeColor="text1"/>
          <w:sz w:val="28"/>
          <w:szCs w:val="28"/>
          <w:lang w:val="uk-UA"/>
        </w:rPr>
        <w:lastRenderedPageBreak/>
        <w:t xml:space="preserve">не містить </w:t>
      </w:r>
      <w:r w:rsidR="006C3969" w:rsidRPr="002D394C">
        <w:rPr>
          <w:rFonts w:ascii="Times New Roman" w:eastAsia="Times New Roman" w:hAnsi="Times New Roman" w:cs="Times New Roman"/>
          <w:color w:val="000000" w:themeColor="text1"/>
          <w:sz w:val="28"/>
          <w:szCs w:val="28"/>
          <w:lang w:val="uk-UA"/>
        </w:rPr>
        <w:t>чіткого</w:t>
      </w:r>
      <w:r w:rsidR="00247053" w:rsidRPr="002D394C">
        <w:rPr>
          <w:rFonts w:ascii="Times New Roman" w:eastAsia="Times New Roman" w:hAnsi="Times New Roman" w:cs="Times New Roman"/>
          <w:color w:val="000000" w:themeColor="text1"/>
          <w:sz w:val="28"/>
          <w:szCs w:val="28"/>
          <w:lang w:val="uk-UA"/>
        </w:rPr>
        <w:t xml:space="preserve"> трактування цього факту, що м</w:t>
      </w:r>
      <w:r w:rsidR="006C3969" w:rsidRPr="002D394C">
        <w:rPr>
          <w:rFonts w:ascii="Times New Roman" w:eastAsia="Times New Roman" w:hAnsi="Times New Roman" w:cs="Times New Roman"/>
          <w:color w:val="000000" w:themeColor="text1"/>
          <w:sz w:val="28"/>
          <w:szCs w:val="28"/>
          <w:lang w:val="uk-UA"/>
        </w:rPr>
        <w:t xml:space="preserve">оже викликати </w:t>
      </w:r>
      <w:r w:rsidR="00247053" w:rsidRPr="002D394C">
        <w:rPr>
          <w:rFonts w:ascii="Times New Roman" w:eastAsia="Times New Roman" w:hAnsi="Times New Roman" w:cs="Times New Roman"/>
          <w:color w:val="000000" w:themeColor="text1"/>
          <w:sz w:val="28"/>
          <w:szCs w:val="28"/>
          <w:lang w:val="uk-UA"/>
        </w:rPr>
        <w:t>складнощі при визначенні об’єкту оподаткування податковими органами та релевантної до цього факту можливості донарахування податкових зобов’язань платникам податків, що перераховують такі платежі організаціям колективного управління.</w:t>
      </w:r>
    </w:p>
    <w:p w14:paraId="4631998B" w14:textId="4E293ED9" w:rsidR="00DA6D21" w:rsidRPr="004F1554" w:rsidRDefault="000E44F9" w:rsidP="007F1AAB">
      <w:pPr>
        <w:ind w:firstLine="560"/>
        <w:jc w:val="both"/>
        <w:rPr>
          <w:rFonts w:ascii="Times New Roman" w:eastAsia="Times New Roman" w:hAnsi="Times New Roman" w:cs="Times New Roman"/>
          <w:b/>
          <w:color w:val="000000" w:themeColor="text1"/>
          <w:sz w:val="28"/>
          <w:szCs w:val="28"/>
          <w:lang w:val="ru-RU"/>
        </w:rPr>
      </w:pPr>
      <w:r w:rsidRPr="002D394C">
        <w:rPr>
          <w:rFonts w:ascii="Times New Roman" w:eastAsia="Times New Roman" w:hAnsi="Times New Roman" w:cs="Times New Roman"/>
          <w:b/>
          <w:color w:val="000000" w:themeColor="text1"/>
          <w:sz w:val="28"/>
          <w:szCs w:val="28"/>
          <w:lang w:val="uk-UA"/>
        </w:rPr>
        <w:t xml:space="preserve">2. </w:t>
      </w:r>
      <w:r w:rsidR="004F1554">
        <w:rPr>
          <w:rFonts w:ascii="Times New Roman" w:eastAsia="Times New Roman" w:hAnsi="Times New Roman" w:cs="Times New Roman"/>
          <w:b/>
          <w:color w:val="000000" w:themeColor="text1"/>
          <w:sz w:val="28"/>
          <w:szCs w:val="28"/>
          <w:lang w:val="uk-UA"/>
        </w:rPr>
        <w:t>Ц</w:t>
      </w:r>
      <w:r w:rsidR="004F1554" w:rsidRPr="004F1554">
        <w:rPr>
          <w:rFonts w:ascii="Times New Roman" w:eastAsia="Times New Roman" w:hAnsi="Times New Roman" w:cs="Times New Roman"/>
          <w:b/>
          <w:color w:val="000000" w:themeColor="text1"/>
          <w:sz w:val="28"/>
          <w:szCs w:val="28"/>
          <w:lang w:val="uk-UA"/>
        </w:rPr>
        <w:t>іл</w:t>
      </w:r>
      <w:r w:rsidR="004F1554" w:rsidRPr="004F1554">
        <w:rPr>
          <w:rFonts w:ascii="Times New Roman" w:eastAsia="Times New Roman" w:hAnsi="Times New Roman" w:cs="Times New Roman"/>
          <w:b/>
          <w:color w:val="000000" w:themeColor="text1"/>
          <w:sz w:val="28"/>
          <w:szCs w:val="28"/>
          <w:lang w:val="uk-UA"/>
        </w:rPr>
        <w:t xml:space="preserve">і та </w:t>
      </w:r>
      <w:r w:rsidR="004F1554" w:rsidRPr="004F1554">
        <w:rPr>
          <w:rFonts w:ascii="Times New Roman" w:eastAsia="Times New Roman" w:hAnsi="Times New Roman" w:cs="Times New Roman"/>
          <w:b/>
          <w:color w:val="000000" w:themeColor="text1"/>
          <w:sz w:val="28"/>
          <w:szCs w:val="28"/>
          <w:lang w:val="uk-UA"/>
        </w:rPr>
        <w:t>завдан</w:t>
      </w:r>
      <w:r w:rsidR="004F1554" w:rsidRPr="004F1554">
        <w:rPr>
          <w:rFonts w:ascii="Times New Roman" w:eastAsia="Times New Roman" w:hAnsi="Times New Roman" w:cs="Times New Roman"/>
          <w:b/>
          <w:color w:val="000000" w:themeColor="text1"/>
          <w:sz w:val="28"/>
          <w:szCs w:val="28"/>
          <w:lang w:val="uk-UA"/>
        </w:rPr>
        <w:t>ня</w:t>
      </w:r>
      <w:r w:rsidR="004F1554" w:rsidRPr="004F1554">
        <w:rPr>
          <w:rStyle w:val="FontStyle"/>
          <w:rFonts w:ascii="Times New Roman" w:hAnsi="Times New Roman"/>
          <w:b/>
          <w:sz w:val="28"/>
          <w:szCs w:val="28"/>
          <w:lang w:val="uk-UA"/>
        </w:rPr>
        <w:t xml:space="preserve"> </w:t>
      </w:r>
      <w:r w:rsidR="004F1554" w:rsidRPr="00823B13">
        <w:rPr>
          <w:rStyle w:val="FontStyle"/>
          <w:rFonts w:ascii="Times New Roman" w:hAnsi="Times New Roman"/>
          <w:b/>
          <w:sz w:val="28"/>
          <w:szCs w:val="28"/>
          <w:lang w:val="uk-UA"/>
        </w:rPr>
        <w:t>проекту акта</w:t>
      </w:r>
    </w:p>
    <w:p w14:paraId="77DC39B4" w14:textId="77777777" w:rsidR="00982C2F" w:rsidRPr="002D394C" w:rsidRDefault="00605928" w:rsidP="00982C2F">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Законопро</w:t>
      </w:r>
      <w:r w:rsidR="00E458AA" w:rsidRPr="002D394C">
        <w:rPr>
          <w:rFonts w:ascii="Times New Roman" w:eastAsia="Times New Roman" w:hAnsi="Times New Roman" w:cs="Times New Roman"/>
          <w:color w:val="000000" w:themeColor="text1"/>
          <w:sz w:val="28"/>
          <w:szCs w:val="28"/>
          <w:lang w:val="uk-UA"/>
        </w:rPr>
        <w:t>е</w:t>
      </w:r>
      <w:r w:rsidRPr="002D394C">
        <w:rPr>
          <w:rFonts w:ascii="Times New Roman" w:eastAsia="Times New Roman" w:hAnsi="Times New Roman" w:cs="Times New Roman"/>
          <w:color w:val="000000" w:themeColor="text1"/>
          <w:sz w:val="28"/>
          <w:szCs w:val="28"/>
          <w:lang w:val="uk-UA"/>
        </w:rPr>
        <w:t xml:space="preserve">кт </w:t>
      </w:r>
      <w:r w:rsidR="000E44F9" w:rsidRPr="002D394C">
        <w:rPr>
          <w:rFonts w:ascii="Times New Roman" w:eastAsia="Times New Roman" w:hAnsi="Times New Roman" w:cs="Times New Roman"/>
          <w:color w:val="000000" w:themeColor="text1"/>
          <w:sz w:val="28"/>
          <w:szCs w:val="28"/>
          <w:lang w:val="uk-UA"/>
        </w:rPr>
        <w:t>розроблено з метою</w:t>
      </w:r>
      <w:r w:rsidR="00982C2F" w:rsidRPr="002D394C">
        <w:rPr>
          <w:rFonts w:ascii="Times New Roman" w:eastAsia="Times New Roman" w:hAnsi="Times New Roman" w:cs="Times New Roman"/>
          <w:color w:val="000000" w:themeColor="text1"/>
          <w:sz w:val="28"/>
          <w:szCs w:val="28"/>
          <w:lang w:val="uk-UA"/>
        </w:rPr>
        <w:t>:</w:t>
      </w:r>
    </w:p>
    <w:p w14:paraId="569EAC92" w14:textId="77777777" w:rsidR="00982C2F" w:rsidRPr="002D394C" w:rsidRDefault="000E44F9" w:rsidP="00982C2F">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 xml:space="preserve"> удосконалення </w:t>
      </w:r>
      <w:r w:rsidR="00982C2F" w:rsidRPr="002D394C">
        <w:rPr>
          <w:rFonts w:ascii="Times New Roman" w:eastAsia="Times New Roman" w:hAnsi="Times New Roman" w:cs="Times New Roman"/>
          <w:color w:val="000000" w:themeColor="text1"/>
          <w:sz w:val="28"/>
          <w:szCs w:val="28"/>
          <w:lang w:val="uk-UA"/>
        </w:rPr>
        <w:t>взаємодії правовласників об’єктів авторського права і (або) суміжних прав, організацій колективного управління та платників  роялті на користь організацій колективного управління, що здійснюють свою діяльність відповідно до Закону України «Про ефективне управління майновими правами правовласників у сфері авторсько</w:t>
      </w:r>
      <w:r w:rsidR="00EF5EC8" w:rsidRPr="002D394C">
        <w:rPr>
          <w:rFonts w:ascii="Times New Roman" w:eastAsia="Times New Roman" w:hAnsi="Times New Roman" w:cs="Times New Roman"/>
          <w:color w:val="000000" w:themeColor="text1"/>
          <w:sz w:val="28"/>
          <w:szCs w:val="28"/>
          <w:lang w:val="uk-UA"/>
        </w:rPr>
        <w:t>го права і (або) суміжних прав»;</w:t>
      </w:r>
    </w:p>
    <w:p w14:paraId="204F3262" w14:textId="77777777" w:rsidR="00982C2F" w:rsidRPr="002D394C" w:rsidRDefault="00982C2F" w:rsidP="00982C2F">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уточнення в переліку податкових різниць, які виникають при здійсненні фінансових операцій та збільшують фінансовий результат платників роялті на користь організацій колективного управління, що здійснюють свою діяльність відповідно до Закону України «Про ефективне управління майновими правами правовласників у сфері авторсько</w:t>
      </w:r>
      <w:r w:rsidR="00EF5EC8" w:rsidRPr="002D394C">
        <w:rPr>
          <w:rFonts w:ascii="Times New Roman" w:eastAsia="Times New Roman" w:hAnsi="Times New Roman" w:cs="Times New Roman"/>
          <w:color w:val="000000" w:themeColor="text1"/>
          <w:sz w:val="28"/>
          <w:szCs w:val="28"/>
          <w:lang w:val="uk-UA"/>
        </w:rPr>
        <w:t>го права і (або) суміжних прав»;</w:t>
      </w:r>
    </w:p>
    <w:p w14:paraId="194CAF2C" w14:textId="77777777" w:rsidR="00DA6D21" w:rsidRPr="002D394C" w:rsidRDefault="00EF5EC8" w:rsidP="005F3897">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 xml:space="preserve">уточнення переліку витрат </w:t>
      </w:r>
      <w:r w:rsidR="006C3969" w:rsidRPr="002D394C">
        <w:rPr>
          <w:rFonts w:ascii="Times New Roman" w:eastAsia="Times New Roman" w:hAnsi="Times New Roman" w:cs="Times New Roman"/>
          <w:color w:val="000000" w:themeColor="text1"/>
          <w:sz w:val="28"/>
          <w:szCs w:val="28"/>
          <w:lang w:val="uk-UA"/>
        </w:rPr>
        <w:t>фізичних осіб-підприємців</w:t>
      </w:r>
      <w:r w:rsidRPr="002D394C">
        <w:rPr>
          <w:rFonts w:ascii="Times New Roman" w:eastAsia="Times New Roman" w:hAnsi="Times New Roman" w:cs="Times New Roman"/>
          <w:color w:val="000000" w:themeColor="text1"/>
          <w:sz w:val="28"/>
          <w:szCs w:val="28"/>
          <w:lang w:val="uk-UA"/>
        </w:rPr>
        <w:t>, безпосередньо пов’язаних з отриманням доходів.</w:t>
      </w:r>
    </w:p>
    <w:p w14:paraId="2DE8EF18" w14:textId="77777777" w:rsidR="00DA6D21" w:rsidRPr="002D394C" w:rsidRDefault="000E44F9" w:rsidP="007F1AAB">
      <w:pPr>
        <w:ind w:left="540"/>
        <w:jc w:val="both"/>
        <w:rPr>
          <w:rFonts w:ascii="Times New Roman" w:eastAsia="Times New Roman" w:hAnsi="Times New Roman" w:cs="Times New Roman"/>
          <w:b/>
          <w:color w:val="000000" w:themeColor="text1"/>
          <w:sz w:val="28"/>
          <w:szCs w:val="28"/>
          <w:lang w:val="uk-UA"/>
        </w:rPr>
      </w:pPr>
      <w:r w:rsidRPr="002D394C">
        <w:rPr>
          <w:rFonts w:ascii="Times New Roman" w:eastAsia="Times New Roman" w:hAnsi="Times New Roman" w:cs="Times New Roman"/>
          <w:b/>
          <w:color w:val="000000" w:themeColor="text1"/>
          <w:sz w:val="28"/>
          <w:szCs w:val="28"/>
          <w:lang w:val="uk-UA"/>
        </w:rPr>
        <w:t xml:space="preserve">3. Загальна характеристика і основні положення </w:t>
      </w:r>
      <w:r w:rsidR="00605928" w:rsidRPr="002D394C">
        <w:rPr>
          <w:rFonts w:ascii="Times New Roman" w:eastAsia="Times New Roman" w:hAnsi="Times New Roman" w:cs="Times New Roman"/>
          <w:b/>
          <w:color w:val="000000" w:themeColor="text1"/>
          <w:sz w:val="28"/>
          <w:szCs w:val="28"/>
          <w:lang w:val="uk-UA"/>
        </w:rPr>
        <w:t>про</w:t>
      </w:r>
      <w:r w:rsidR="00E458AA" w:rsidRPr="002D394C">
        <w:rPr>
          <w:rFonts w:ascii="Times New Roman" w:eastAsia="Times New Roman" w:hAnsi="Times New Roman" w:cs="Times New Roman"/>
          <w:b/>
          <w:color w:val="000000" w:themeColor="text1"/>
          <w:sz w:val="28"/>
          <w:szCs w:val="28"/>
          <w:lang w:val="uk-UA"/>
        </w:rPr>
        <w:t>е</w:t>
      </w:r>
      <w:r w:rsidR="00605928" w:rsidRPr="002D394C">
        <w:rPr>
          <w:rFonts w:ascii="Times New Roman" w:eastAsia="Times New Roman" w:hAnsi="Times New Roman" w:cs="Times New Roman"/>
          <w:b/>
          <w:color w:val="000000" w:themeColor="text1"/>
          <w:sz w:val="28"/>
          <w:szCs w:val="28"/>
          <w:lang w:val="uk-UA"/>
        </w:rPr>
        <w:t xml:space="preserve">кту </w:t>
      </w:r>
      <w:r w:rsidRPr="002D394C">
        <w:rPr>
          <w:rFonts w:ascii="Times New Roman" w:eastAsia="Times New Roman" w:hAnsi="Times New Roman" w:cs="Times New Roman"/>
          <w:b/>
          <w:color w:val="000000" w:themeColor="text1"/>
          <w:sz w:val="28"/>
          <w:szCs w:val="28"/>
          <w:lang w:val="uk-UA"/>
        </w:rPr>
        <w:t>акта</w:t>
      </w:r>
    </w:p>
    <w:p w14:paraId="5C2949D4" w14:textId="77777777" w:rsidR="006C3969" w:rsidRPr="002D394C" w:rsidRDefault="00605928" w:rsidP="006C3969">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Законопро</w:t>
      </w:r>
      <w:r w:rsidR="00E458AA" w:rsidRPr="002D394C">
        <w:rPr>
          <w:rFonts w:ascii="Times New Roman" w:eastAsia="Times New Roman" w:hAnsi="Times New Roman" w:cs="Times New Roman"/>
          <w:color w:val="000000" w:themeColor="text1"/>
          <w:sz w:val="28"/>
          <w:szCs w:val="28"/>
          <w:lang w:val="uk-UA"/>
        </w:rPr>
        <w:t>е</w:t>
      </w:r>
      <w:r w:rsidRPr="002D394C">
        <w:rPr>
          <w:rFonts w:ascii="Times New Roman" w:eastAsia="Times New Roman" w:hAnsi="Times New Roman" w:cs="Times New Roman"/>
          <w:color w:val="000000" w:themeColor="text1"/>
          <w:sz w:val="28"/>
          <w:szCs w:val="28"/>
          <w:lang w:val="uk-UA"/>
        </w:rPr>
        <w:t xml:space="preserve">ктом </w:t>
      </w:r>
      <w:r w:rsidR="000E44F9" w:rsidRPr="002D394C">
        <w:rPr>
          <w:rFonts w:ascii="Times New Roman" w:eastAsia="Times New Roman" w:hAnsi="Times New Roman" w:cs="Times New Roman"/>
          <w:color w:val="000000" w:themeColor="text1"/>
          <w:sz w:val="28"/>
          <w:szCs w:val="28"/>
          <w:lang w:val="uk-UA"/>
        </w:rPr>
        <w:t>пропонується внести зміни до окремих положень Податкового кодексу України, зокрема:</w:t>
      </w:r>
    </w:p>
    <w:p w14:paraId="37022940" w14:textId="77777777" w:rsidR="00EF5EC8" w:rsidRPr="002D394C" w:rsidRDefault="006C3969" w:rsidP="006C3969">
      <w:pPr>
        <w:pStyle w:val="a7"/>
        <w:numPr>
          <w:ilvl w:val="0"/>
          <w:numId w:val="10"/>
        </w:numPr>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 xml:space="preserve">У </w:t>
      </w:r>
      <w:r w:rsidR="00EF5EC8" w:rsidRPr="002D394C">
        <w:rPr>
          <w:rFonts w:ascii="Times New Roman" w:eastAsia="Times New Roman" w:hAnsi="Times New Roman" w:cs="Times New Roman"/>
          <w:color w:val="000000" w:themeColor="text1"/>
          <w:sz w:val="28"/>
          <w:szCs w:val="28"/>
          <w:lang w:val="uk-UA"/>
        </w:rPr>
        <w:t>п. 14.</w:t>
      </w:r>
      <w:r w:rsidR="00954997" w:rsidRPr="002D394C">
        <w:rPr>
          <w:rFonts w:ascii="Times New Roman" w:eastAsia="Times New Roman" w:hAnsi="Times New Roman" w:cs="Times New Roman"/>
          <w:color w:val="000000" w:themeColor="text1"/>
          <w:sz w:val="28"/>
          <w:szCs w:val="28"/>
          <w:lang w:val="uk-UA"/>
        </w:rPr>
        <w:t>1</w:t>
      </w:r>
      <w:r w:rsidR="00EF5EC8" w:rsidRPr="002D394C">
        <w:rPr>
          <w:rFonts w:ascii="Times New Roman" w:eastAsia="Times New Roman" w:hAnsi="Times New Roman" w:cs="Times New Roman"/>
          <w:color w:val="000000" w:themeColor="text1"/>
          <w:sz w:val="28"/>
          <w:szCs w:val="28"/>
          <w:lang w:val="uk-UA"/>
        </w:rPr>
        <w:t>.225</w:t>
      </w:r>
      <w:r w:rsidRPr="002D394C">
        <w:rPr>
          <w:rFonts w:ascii="Times New Roman" w:eastAsia="Times New Roman" w:hAnsi="Times New Roman" w:cs="Times New Roman"/>
          <w:color w:val="000000" w:themeColor="text1"/>
          <w:sz w:val="28"/>
          <w:szCs w:val="28"/>
          <w:lang w:val="uk-UA"/>
        </w:rPr>
        <w:t xml:space="preserve"> уточнити, </w:t>
      </w:r>
      <w:r w:rsidR="00EF5EC8" w:rsidRPr="002D394C">
        <w:rPr>
          <w:rFonts w:ascii="Times New Roman" w:eastAsia="Times New Roman" w:hAnsi="Times New Roman" w:cs="Times New Roman"/>
          <w:color w:val="000000" w:themeColor="text1"/>
          <w:sz w:val="28"/>
          <w:szCs w:val="28"/>
          <w:lang w:val="uk-UA"/>
        </w:rPr>
        <w:t>що до роялті відноситься</w:t>
      </w:r>
      <w:r w:rsidRPr="002D394C">
        <w:rPr>
          <w:rFonts w:ascii="Times New Roman" w:eastAsia="Times New Roman" w:hAnsi="Times New Roman" w:cs="Times New Roman"/>
          <w:color w:val="000000" w:themeColor="text1"/>
          <w:sz w:val="28"/>
          <w:szCs w:val="28"/>
          <w:lang w:val="uk-UA"/>
        </w:rPr>
        <w:t xml:space="preserve">, зокрема, </w:t>
      </w:r>
      <w:r w:rsidR="00EF5EC8" w:rsidRPr="002D394C">
        <w:rPr>
          <w:rFonts w:ascii="Times New Roman" w:eastAsia="Times New Roman" w:hAnsi="Times New Roman" w:cs="Times New Roman"/>
          <w:color w:val="000000" w:themeColor="text1"/>
          <w:sz w:val="28"/>
          <w:szCs w:val="28"/>
          <w:lang w:val="uk-UA"/>
        </w:rPr>
        <w:t>платіж, що сплачується користувачем об’єктів авторського права і (або) суміжних прав) на користь організацій колективного управління, відповідно до Закону України «Про ефективне управління майновими правами правовласників у сфері авторсько</w:t>
      </w:r>
      <w:r w:rsidR="00954997" w:rsidRPr="002D394C">
        <w:rPr>
          <w:rFonts w:ascii="Times New Roman" w:eastAsia="Times New Roman" w:hAnsi="Times New Roman" w:cs="Times New Roman"/>
          <w:color w:val="000000" w:themeColor="text1"/>
          <w:sz w:val="28"/>
          <w:szCs w:val="28"/>
          <w:lang w:val="uk-UA"/>
        </w:rPr>
        <w:t>го права і (або) суміжних прав»;</w:t>
      </w:r>
    </w:p>
    <w:p w14:paraId="68F550EB" w14:textId="77777777" w:rsidR="00982C2F" w:rsidRPr="002D394C" w:rsidRDefault="00954997" w:rsidP="006C3969">
      <w:pPr>
        <w:pStyle w:val="a7"/>
        <w:numPr>
          <w:ilvl w:val="0"/>
          <w:numId w:val="10"/>
        </w:numPr>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п</w:t>
      </w:r>
      <w:r w:rsidR="00E92C34" w:rsidRPr="002D394C">
        <w:rPr>
          <w:rFonts w:ascii="Times New Roman" w:eastAsia="Times New Roman" w:hAnsi="Times New Roman" w:cs="Times New Roman"/>
          <w:color w:val="000000" w:themeColor="text1"/>
          <w:sz w:val="28"/>
          <w:szCs w:val="28"/>
          <w:lang w:val="uk-UA"/>
        </w:rPr>
        <w:t xml:space="preserve">ередбачити, що </w:t>
      </w:r>
      <w:r w:rsidR="00982C2F" w:rsidRPr="002D394C">
        <w:rPr>
          <w:rFonts w:ascii="Times New Roman" w:eastAsia="Times New Roman" w:hAnsi="Times New Roman" w:cs="Times New Roman"/>
          <w:color w:val="000000" w:themeColor="text1"/>
          <w:sz w:val="28"/>
          <w:szCs w:val="28"/>
          <w:lang w:val="uk-UA"/>
        </w:rPr>
        <w:t>вимоги підпункту 6 підпункту 140.5.7 пункту 140.5 статті 140 не застосовуються до випадків нарахування платником податку роялті (відрахування (винагороди) правовласнику) на користь організацій колективного управління, що здійснюють свою діяльність відповідно до Закону України «Про ефективне управління майновими правами правовласників у сфері авторського</w:t>
      </w:r>
      <w:r w:rsidRPr="002D394C">
        <w:rPr>
          <w:rFonts w:ascii="Times New Roman" w:eastAsia="Times New Roman" w:hAnsi="Times New Roman" w:cs="Times New Roman"/>
          <w:color w:val="000000" w:themeColor="text1"/>
          <w:sz w:val="28"/>
          <w:szCs w:val="28"/>
          <w:lang w:val="uk-UA"/>
        </w:rPr>
        <w:t xml:space="preserve"> права і (або) суміжних прав»;</w:t>
      </w:r>
    </w:p>
    <w:p w14:paraId="262E2AF4" w14:textId="77777777" w:rsidR="00EB5ECD" w:rsidRPr="002D394C" w:rsidRDefault="00954997" w:rsidP="006C3969">
      <w:pPr>
        <w:pStyle w:val="a7"/>
        <w:numPr>
          <w:ilvl w:val="0"/>
          <w:numId w:val="10"/>
        </w:numPr>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к</w:t>
      </w:r>
      <w:r w:rsidR="005A6E80" w:rsidRPr="002D394C">
        <w:rPr>
          <w:rFonts w:ascii="Times New Roman" w:eastAsia="Times New Roman" w:hAnsi="Times New Roman" w:cs="Times New Roman"/>
          <w:color w:val="000000" w:themeColor="text1"/>
          <w:sz w:val="28"/>
          <w:szCs w:val="28"/>
          <w:lang w:val="uk-UA"/>
        </w:rPr>
        <w:t xml:space="preserve">онкретизувати, що для </w:t>
      </w:r>
      <w:r w:rsidR="00EB5ECD" w:rsidRPr="002D394C">
        <w:rPr>
          <w:rFonts w:ascii="Times New Roman" w:eastAsia="Times New Roman" w:hAnsi="Times New Roman" w:cs="Times New Roman"/>
          <w:color w:val="000000" w:themeColor="text1"/>
          <w:sz w:val="28"/>
          <w:szCs w:val="28"/>
          <w:lang w:val="uk-UA"/>
        </w:rPr>
        <w:t>фі</w:t>
      </w:r>
      <w:r w:rsidR="006C3969" w:rsidRPr="002D394C">
        <w:rPr>
          <w:rFonts w:ascii="Times New Roman" w:eastAsia="Times New Roman" w:hAnsi="Times New Roman" w:cs="Times New Roman"/>
          <w:color w:val="000000" w:themeColor="text1"/>
          <w:sz w:val="28"/>
          <w:szCs w:val="28"/>
          <w:lang w:val="uk-UA"/>
        </w:rPr>
        <w:t>зичних осіб</w:t>
      </w:r>
      <w:r w:rsidR="00EB5ECD" w:rsidRPr="002D394C">
        <w:rPr>
          <w:rFonts w:ascii="Times New Roman" w:eastAsia="Times New Roman" w:hAnsi="Times New Roman" w:cs="Times New Roman"/>
          <w:color w:val="000000" w:themeColor="text1"/>
          <w:sz w:val="28"/>
          <w:szCs w:val="28"/>
          <w:lang w:val="uk-UA"/>
        </w:rPr>
        <w:t xml:space="preserve"> - підприємців до переліку витрат, безпосередньо пов’язаних з отриманням доходів, належать </w:t>
      </w:r>
      <w:r w:rsidR="00D44DBC" w:rsidRPr="002D394C">
        <w:rPr>
          <w:rFonts w:ascii="Times New Roman" w:eastAsia="Times New Roman" w:hAnsi="Times New Roman" w:cs="Times New Roman"/>
          <w:color w:val="000000" w:themeColor="text1"/>
          <w:sz w:val="28"/>
          <w:szCs w:val="28"/>
          <w:lang w:val="uk-UA"/>
        </w:rPr>
        <w:t>роялті</w:t>
      </w:r>
      <w:r w:rsidR="00EB5ECD" w:rsidRPr="002D394C">
        <w:rPr>
          <w:rFonts w:ascii="Times New Roman" w:eastAsia="Times New Roman" w:hAnsi="Times New Roman" w:cs="Times New Roman"/>
          <w:color w:val="000000" w:themeColor="text1"/>
          <w:sz w:val="28"/>
          <w:szCs w:val="28"/>
          <w:lang w:val="uk-UA"/>
        </w:rPr>
        <w:t xml:space="preserve"> сплачені на користь організацій колективного управління відповідно до Закону України «Про ефективне управління майновими правами правовласників у сфері авторського права і (або) суміжних прав».</w:t>
      </w:r>
    </w:p>
    <w:p w14:paraId="5432957A" w14:textId="77777777" w:rsidR="005A6E80" w:rsidRPr="002D394C" w:rsidRDefault="00982C2F" w:rsidP="00EB5ECD">
      <w:pPr>
        <w:tabs>
          <w:tab w:val="left" w:pos="993"/>
        </w:tabs>
        <w:spacing w:line="240" w:lineRule="auto"/>
        <w:ind w:firstLine="992"/>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lastRenderedPageBreak/>
        <w:t>Це дозволить платникам, що перераховують роялті через організації колективного управління</w:t>
      </w:r>
      <w:r w:rsidR="00AB1572" w:rsidRPr="002D394C">
        <w:rPr>
          <w:rFonts w:ascii="Times New Roman" w:eastAsia="Times New Roman" w:hAnsi="Times New Roman" w:cs="Times New Roman"/>
          <w:color w:val="000000" w:themeColor="text1"/>
          <w:sz w:val="28"/>
          <w:szCs w:val="28"/>
          <w:lang w:val="uk-UA"/>
        </w:rPr>
        <w:t>,</w:t>
      </w:r>
      <w:r w:rsidRPr="002D394C">
        <w:rPr>
          <w:rFonts w:ascii="Times New Roman" w:eastAsia="Times New Roman" w:hAnsi="Times New Roman" w:cs="Times New Roman"/>
          <w:color w:val="000000" w:themeColor="text1"/>
          <w:sz w:val="28"/>
          <w:szCs w:val="28"/>
          <w:lang w:val="uk-UA"/>
        </w:rPr>
        <w:t xml:space="preserve"> відкоригувати фінансовий результат</w:t>
      </w:r>
      <w:r w:rsidR="00AB1572" w:rsidRPr="002D394C">
        <w:rPr>
          <w:rFonts w:ascii="Times New Roman" w:eastAsia="Times New Roman" w:hAnsi="Times New Roman" w:cs="Times New Roman"/>
          <w:color w:val="000000" w:themeColor="text1"/>
          <w:sz w:val="28"/>
          <w:szCs w:val="28"/>
          <w:lang w:val="uk-UA"/>
        </w:rPr>
        <w:t xml:space="preserve"> та не збільшувати його на с</w:t>
      </w:r>
      <w:r w:rsidR="008E5341" w:rsidRPr="002D394C">
        <w:rPr>
          <w:rFonts w:ascii="Times New Roman" w:eastAsia="Times New Roman" w:hAnsi="Times New Roman" w:cs="Times New Roman"/>
          <w:color w:val="000000" w:themeColor="text1"/>
          <w:sz w:val="28"/>
          <w:szCs w:val="28"/>
          <w:lang w:val="uk-UA"/>
        </w:rPr>
        <w:t>уму таких платежів, а</w:t>
      </w:r>
      <w:r w:rsidR="005A6E80" w:rsidRPr="002D394C">
        <w:rPr>
          <w:rFonts w:ascii="Times New Roman" w:eastAsia="Times New Roman" w:hAnsi="Times New Roman" w:cs="Times New Roman"/>
          <w:color w:val="000000" w:themeColor="text1"/>
          <w:sz w:val="28"/>
          <w:szCs w:val="28"/>
          <w:lang w:val="uk-UA"/>
        </w:rPr>
        <w:t xml:space="preserve"> також уникнути донарахувань податкових зобов’язань податковими органами при перевірках.</w:t>
      </w:r>
    </w:p>
    <w:p w14:paraId="339D440F" w14:textId="4F3BCBB7" w:rsidR="00DA6D21" w:rsidRPr="002D394C" w:rsidRDefault="000E44F9" w:rsidP="00464DF1">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b/>
          <w:color w:val="000000" w:themeColor="text1"/>
          <w:sz w:val="28"/>
          <w:szCs w:val="28"/>
          <w:lang w:val="uk-UA"/>
        </w:rPr>
        <w:t xml:space="preserve">4. </w:t>
      </w:r>
      <w:r w:rsidR="004F1554" w:rsidRPr="00823B13">
        <w:rPr>
          <w:rStyle w:val="FontStyle"/>
          <w:rFonts w:ascii="Times New Roman" w:hAnsi="Times New Roman"/>
          <w:b/>
          <w:sz w:val="28"/>
          <w:szCs w:val="28"/>
          <w:lang w:val="uk-UA"/>
        </w:rPr>
        <w:t>Місце в системі законодавства проекту акта</w:t>
      </w:r>
    </w:p>
    <w:p w14:paraId="3348CC04" w14:textId="77777777" w:rsidR="00605928" w:rsidRPr="002D394C" w:rsidRDefault="000E44F9" w:rsidP="00954997">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Нормативно-правову базу у даній сфері правового регулювання становить Податковий кодекс України</w:t>
      </w:r>
      <w:r w:rsidR="00EB5ECD" w:rsidRPr="002D394C">
        <w:rPr>
          <w:rFonts w:ascii="Times New Roman" w:eastAsia="Times New Roman" w:hAnsi="Times New Roman" w:cs="Times New Roman"/>
          <w:color w:val="000000" w:themeColor="text1"/>
          <w:sz w:val="28"/>
          <w:szCs w:val="28"/>
          <w:lang w:val="uk-UA"/>
        </w:rPr>
        <w:t xml:space="preserve">, </w:t>
      </w:r>
      <w:r w:rsidR="00AB1572" w:rsidRPr="002D394C">
        <w:rPr>
          <w:rFonts w:ascii="Times New Roman" w:eastAsia="Times New Roman" w:hAnsi="Times New Roman" w:cs="Times New Roman"/>
          <w:color w:val="000000" w:themeColor="text1"/>
          <w:sz w:val="28"/>
          <w:szCs w:val="28"/>
          <w:lang w:val="uk-UA"/>
        </w:rPr>
        <w:t>Закон України «Про ефективне управління майновими правами правовласників у сфері авторського права і (або) суміжних прав»</w:t>
      </w:r>
      <w:r w:rsidRPr="002D394C">
        <w:rPr>
          <w:rFonts w:ascii="Times New Roman" w:eastAsia="Times New Roman" w:hAnsi="Times New Roman" w:cs="Times New Roman"/>
          <w:color w:val="000000" w:themeColor="text1"/>
          <w:sz w:val="28"/>
          <w:szCs w:val="28"/>
          <w:lang w:val="uk-UA"/>
        </w:rPr>
        <w:t>.</w:t>
      </w:r>
    </w:p>
    <w:p w14:paraId="0AC783C2" w14:textId="77777777" w:rsidR="00DA6D21" w:rsidRPr="002D394C" w:rsidRDefault="000E44F9" w:rsidP="00464DF1">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b/>
          <w:color w:val="000000" w:themeColor="text1"/>
          <w:sz w:val="28"/>
          <w:szCs w:val="28"/>
          <w:lang w:val="uk-UA"/>
        </w:rPr>
        <w:t>5. Фінансово-економічне обґрунтування</w:t>
      </w:r>
    </w:p>
    <w:p w14:paraId="231655D6" w14:textId="77777777" w:rsidR="00DA6D21" w:rsidRPr="002D394C" w:rsidRDefault="000E44F9" w:rsidP="00464DF1">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Прийняття цього Закону не потребує збільшення видатків Державного бюджету України.</w:t>
      </w:r>
    </w:p>
    <w:p w14:paraId="2AE7BA9A" w14:textId="77777777" w:rsidR="0072313E" w:rsidRPr="002D394C" w:rsidRDefault="0072313E" w:rsidP="002D394C">
      <w:pPr>
        <w:pStyle w:val="a7"/>
        <w:numPr>
          <w:ilvl w:val="0"/>
          <w:numId w:val="12"/>
        </w:numPr>
        <w:ind w:hanging="153"/>
        <w:jc w:val="both"/>
        <w:rPr>
          <w:rFonts w:ascii="Times New Roman" w:eastAsia="Times New Roman" w:hAnsi="Times New Roman" w:cs="Times New Roman"/>
          <w:b/>
          <w:bCs/>
          <w:color w:val="000000" w:themeColor="text1"/>
          <w:sz w:val="28"/>
          <w:szCs w:val="28"/>
          <w:lang w:val="uk-UA"/>
        </w:rPr>
      </w:pPr>
      <w:r w:rsidRPr="002D394C">
        <w:rPr>
          <w:rFonts w:ascii="Times New Roman" w:eastAsia="Times New Roman" w:hAnsi="Times New Roman" w:cs="Times New Roman"/>
          <w:b/>
          <w:bCs/>
          <w:color w:val="000000" w:themeColor="text1"/>
          <w:sz w:val="28"/>
          <w:szCs w:val="28"/>
          <w:lang w:val="uk-UA"/>
        </w:rPr>
        <w:t xml:space="preserve">Запобігання корупції </w:t>
      </w:r>
    </w:p>
    <w:p w14:paraId="782A0CB7" w14:textId="77777777" w:rsidR="002D394C" w:rsidRDefault="0072313E" w:rsidP="002D394C">
      <w:pPr>
        <w:ind w:left="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У проекті Закону відсутні правила і процедури, які можуть містити  ризики вчинення корупційних правопорушень.</w:t>
      </w:r>
    </w:p>
    <w:p w14:paraId="5205E91A" w14:textId="0A72FB94" w:rsidR="00DA6D21" w:rsidRPr="002D394C" w:rsidRDefault="0072313E" w:rsidP="002D394C">
      <w:pPr>
        <w:ind w:left="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b/>
          <w:color w:val="000000" w:themeColor="text1"/>
          <w:sz w:val="28"/>
          <w:szCs w:val="28"/>
          <w:lang w:val="ru-RU"/>
        </w:rPr>
        <w:t>7</w:t>
      </w:r>
      <w:r w:rsidR="000E44F9" w:rsidRPr="002D394C">
        <w:rPr>
          <w:rFonts w:ascii="Times New Roman" w:eastAsia="Times New Roman" w:hAnsi="Times New Roman" w:cs="Times New Roman"/>
          <w:b/>
          <w:color w:val="000000" w:themeColor="text1"/>
          <w:sz w:val="28"/>
          <w:szCs w:val="28"/>
          <w:lang w:val="uk-UA"/>
        </w:rPr>
        <w:t xml:space="preserve">. Прогноз соціально-економічних та інших наслідків прийняття </w:t>
      </w:r>
      <w:r w:rsidR="00605928" w:rsidRPr="002D394C">
        <w:rPr>
          <w:rFonts w:ascii="Times New Roman" w:eastAsia="Times New Roman" w:hAnsi="Times New Roman" w:cs="Times New Roman"/>
          <w:b/>
          <w:color w:val="000000" w:themeColor="text1"/>
          <w:sz w:val="28"/>
          <w:szCs w:val="28"/>
          <w:lang w:val="uk-UA"/>
        </w:rPr>
        <w:t>законопро</w:t>
      </w:r>
      <w:r w:rsidR="00E458AA" w:rsidRPr="002D394C">
        <w:rPr>
          <w:rFonts w:ascii="Times New Roman" w:eastAsia="Times New Roman" w:hAnsi="Times New Roman" w:cs="Times New Roman"/>
          <w:b/>
          <w:color w:val="000000" w:themeColor="text1"/>
          <w:sz w:val="28"/>
          <w:szCs w:val="28"/>
          <w:lang w:val="uk-UA"/>
        </w:rPr>
        <w:t>е</w:t>
      </w:r>
      <w:r w:rsidR="00605928" w:rsidRPr="002D394C">
        <w:rPr>
          <w:rFonts w:ascii="Times New Roman" w:eastAsia="Times New Roman" w:hAnsi="Times New Roman" w:cs="Times New Roman"/>
          <w:b/>
          <w:color w:val="000000" w:themeColor="text1"/>
          <w:sz w:val="28"/>
          <w:szCs w:val="28"/>
          <w:lang w:val="uk-UA"/>
        </w:rPr>
        <w:t>кту</w:t>
      </w:r>
    </w:p>
    <w:p w14:paraId="47CC71D9" w14:textId="6641EECC" w:rsidR="00AB1572" w:rsidRPr="002D394C" w:rsidRDefault="000E44F9" w:rsidP="00464DF1">
      <w:pPr>
        <w:ind w:firstLine="567"/>
        <w:jc w:val="both"/>
        <w:rPr>
          <w:rFonts w:ascii="Times New Roman" w:eastAsia="Times New Roman" w:hAnsi="Times New Roman" w:cs="Times New Roman"/>
          <w:color w:val="000000" w:themeColor="text1"/>
          <w:sz w:val="28"/>
          <w:szCs w:val="28"/>
          <w:lang w:val="uk-UA"/>
        </w:rPr>
      </w:pPr>
      <w:r w:rsidRPr="002D394C">
        <w:rPr>
          <w:rFonts w:ascii="Times New Roman" w:eastAsia="Times New Roman" w:hAnsi="Times New Roman" w:cs="Times New Roman"/>
          <w:color w:val="000000" w:themeColor="text1"/>
          <w:sz w:val="28"/>
          <w:szCs w:val="28"/>
          <w:lang w:val="uk-UA"/>
        </w:rPr>
        <w:t xml:space="preserve">Прийняття </w:t>
      </w:r>
      <w:r w:rsidR="00605928" w:rsidRPr="002D394C">
        <w:rPr>
          <w:rFonts w:ascii="Times New Roman" w:eastAsia="Times New Roman" w:hAnsi="Times New Roman" w:cs="Times New Roman"/>
          <w:color w:val="000000" w:themeColor="text1"/>
          <w:sz w:val="28"/>
          <w:szCs w:val="28"/>
          <w:lang w:val="uk-UA"/>
        </w:rPr>
        <w:t>законопро</w:t>
      </w:r>
      <w:r w:rsidR="00E458AA" w:rsidRPr="002D394C">
        <w:rPr>
          <w:rFonts w:ascii="Times New Roman" w:eastAsia="Times New Roman" w:hAnsi="Times New Roman" w:cs="Times New Roman"/>
          <w:color w:val="000000" w:themeColor="text1"/>
          <w:sz w:val="28"/>
          <w:szCs w:val="28"/>
          <w:lang w:val="uk-UA"/>
        </w:rPr>
        <w:t>е</w:t>
      </w:r>
      <w:r w:rsidR="00605928" w:rsidRPr="002D394C">
        <w:rPr>
          <w:rFonts w:ascii="Times New Roman" w:eastAsia="Times New Roman" w:hAnsi="Times New Roman" w:cs="Times New Roman"/>
          <w:color w:val="000000" w:themeColor="text1"/>
          <w:sz w:val="28"/>
          <w:szCs w:val="28"/>
          <w:lang w:val="uk-UA"/>
        </w:rPr>
        <w:t xml:space="preserve">кту </w:t>
      </w:r>
      <w:r w:rsidRPr="002D394C">
        <w:rPr>
          <w:rFonts w:ascii="Times New Roman" w:eastAsia="Times New Roman" w:hAnsi="Times New Roman" w:cs="Times New Roman"/>
          <w:color w:val="000000" w:themeColor="text1"/>
          <w:sz w:val="28"/>
          <w:szCs w:val="28"/>
          <w:lang w:val="uk-UA"/>
        </w:rPr>
        <w:t xml:space="preserve">сприятиме </w:t>
      </w:r>
      <w:r w:rsidR="00AB1572" w:rsidRPr="002D394C">
        <w:rPr>
          <w:rFonts w:ascii="Times New Roman" w:eastAsia="Times New Roman" w:hAnsi="Times New Roman" w:cs="Times New Roman"/>
          <w:color w:val="000000" w:themeColor="text1"/>
          <w:sz w:val="28"/>
          <w:szCs w:val="28"/>
          <w:lang w:val="uk-UA"/>
        </w:rPr>
        <w:t>реалізації системи ефективного управління майновими правами правовласників у сфері авторського права і (або) суміжних прав щодо збору, розподілу винагороди зібраної організаціями колективного управління з користувачів на користь правовласників авторського права і (або) суміжних прав.</w:t>
      </w:r>
    </w:p>
    <w:p w14:paraId="09385EC9" w14:textId="77777777" w:rsidR="00DA6D21" w:rsidRPr="002D394C" w:rsidRDefault="00DA6D21" w:rsidP="007F1AAB">
      <w:pPr>
        <w:jc w:val="both"/>
        <w:rPr>
          <w:rFonts w:ascii="Times New Roman" w:eastAsia="Times New Roman" w:hAnsi="Times New Roman" w:cs="Times New Roman"/>
          <w:b/>
          <w:color w:val="000000" w:themeColor="text1"/>
          <w:sz w:val="28"/>
          <w:szCs w:val="28"/>
          <w:lang w:val="uk-UA"/>
        </w:rPr>
      </w:pPr>
    </w:p>
    <w:p w14:paraId="52990D66" w14:textId="77777777" w:rsidR="00DA6D21" w:rsidRPr="002D394C" w:rsidRDefault="00E458AA" w:rsidP="00E458AA">
      <w:pPr>
        <w:ind w:firstLine="567"/>
        <w:jc w:val="both"/>
        <w:rPr>
          <w:rFonts w:ascii="Times New Roman" w:eastAsia="Times New Roman" w:hAnsi="Times New Roman" w:cs="Times New Roman"/>
          <w:b/>
          <w:color w:val="000000" w:themeColor="text1"/>
          <w:sz w:val="28"/>
          <w:szCs w:val="28"/>
          <w:lang w:val="uk-UA"/>
        </w:rPr>
      </w:pPr>
      <w:r w:rsidRPr="002D394C">
        <w:rPr>
          <w:rFonts w:ascii="Times New Roman" w:eastAsia="Times New Roman" w:hAnsi="Times New Roman" w:cs="Times New Roman"/>
          <w:b/>
          <w:color w:val="000000" w:themeColor="text1"/>
          <w:sz w:val="28"/>
          <w:szCs w:val="28"/>
          <w:lang w:val="uk-UA"/>
        </w:rPr>
        <w:t>Народні</w:t>
      </w:r>
      <w:r w:rsidR="000E44F9" w:rsidRPr="002D394C">
        <w:rPr>
          <w:rFonts w:ascii="Times New Roman" w:eastAsia="Times New Roman" w:hAnsi="Times New Roman" w:cs="Times New Roman"/>
          <w:b/>
          <w:color w:val="000000" w:themeColor="text1"/>
          <w:sz w:val="28"/>
          <w:szCs w:val="28"/>
          <w:lang w:val="uk-UA"/>
        </w:rPr>
        <w:t xml:space="preserve"> депутат</w:t>
      </w:r>
      <w:r w:rsidRPr="002D394C">
        <w:rPr>
          <w:rFonts w:ascii="Times New Roman" w:eastAsia="Times New Roman" w:hAnsi="Times New Roman" w:cs="Times New Roman"/>
          <w:b/>
          <w:color w:val="000000" w:themeColor="text1"/>
          <w:sz w:val="28"/>
          <w:szCs w:val="28"/>
          <w:lang w:val="uk-UA"/>
        </w:rPr>
        <w:t>и</w:t>
      </w:r>
      <w:r w:rsidR="000E44F9" w:rsidRPr="002D394C">
        <w:rPr>
          <w:rFonts w:ascii="Times New Roman" w:eastAsia="Times New Roman" w:hAnsi="Times New Roman" w:cs="Times New Roman"/>
          <w:b/>
          <w:color w:val="000000" w:themeColor="text1"/>
          <w:sz w:val="28"/>
          <w:szCs w:val="28"/>
          <w:lang w:val="uk-UA"/>
        </w:rPr>
        <w:t xml:space="preserve"> України                                      </w:t>
      </w:r>
      <w:r w:rsidR="000E44F9" w:rsidRPr="002D394C">
        <w:rPr>
          <w:rFonts w:ascii="Times New Roman" w:eastAsia="Times New Roman" w:hAnsi="Times New Roman" w:cs="Times New Roman"/>
          <w:b/>
          <w:color w:val="000000" w:themeColor="text1"/>
          <w:sz w:val="28"/>
          <w:szCs w:val="28"/>
          <w:lang w:val="uk-UA"/>
        </w:rPr>
        <w:tab/>
        <w:t xml:space="preserve">                                   </w:t>
      </w:r>
    </w:p>
    <w:tbl>
      <w:tblPr>
        <w:tblStyle w:val="ad"/>
        <w:tblW w:w="0" w:type="auto"/>
        <w:tblLook w:val="04A0" w:firstRow="1" w:lastRow="0" w:firstColumn="1" w:lastColumn="0" w:noHBand="0" w:noVBand="1"/>
      </w:tblPr>
      <w:tblGrid>
        <w:gridCol w:w="4785"/>
        <w:gridCol w:w="4785"/>
      </w:tblGrid>
      <w:tr w:rsidR="00DD067D" w:rsidRPr="007C5B28" w14:paraId="5225B6A7" w14:textId="77777777" w:rsidTr="00427B83">
        <w:tc>
          <w:tcPr>
            <w:tcW w:w="4785" w:type="dxa"/>
          </w:tcPr>
          <w:p w14:paraId="54A3EDBA" w14:textId="77777777" w:rsidR="00DD067D" w:rsidRPr="002D394C" w:rsidRDefault="00DD067D" w:rsidP="00A476D3">
            <w:pPr>
              <w:rPr>
                <w:rFonts w:ascii="Times New Roman" w:hAnsi="Times New Roman"/>
                <w:b/>
                <w:sz w:val="28"/>
                <w:szCs w:val="28"/>
                <w:lang w:eastAsia="ru-RU"/>
              </w:rPr>
            </w:pPr>
          </w:p>
        </w:tc>
        <w:tc>
          <w:tcPr>
            <w:tcW w:w="4785" w:type="dxa"/>
          </w:tcPr>
          <w:p w14:paraId="2FE3D316" w14:textId="77777777" w:rsidR="00DD067D" w:rsidRPr="002D394C" w:rsidRDefault="00DD067D" w:rsidP="00A476D3">
            <w:pPr>
              <w:rPr>
                <w:rFonts w:ascii="Times New Roman" w:hAnsi="Times New Roman"/>
                <w:b/>
                <w:sz w:val="28"/>
                <w:szCs w:val="28"/>
                <w:lang w:eastAsia="ru-RU"/>
              </w:rPr>
            </w:pPr>
          </w:p>
        </w:tc>
      </w:tr>
      <w:tr w:rsidR="008E5341" w:rsidRPr="007C5B28" w14:paraId="7842E7BD" w14:textId="77777777" w:rsidTr="00427B83">
        <w:tc>
          <w:tcPr>
            <w:tcW w:w="4785" w:type="dxa"/>
          </w:tcPr>
          <w:p w14:paraId="0BDCFF56" w14:textId="77777777" w:rsidR="008E5341" w:rsidRPr="002D394C" w:rsidRDefault="008E5341" w:rsidP="00A476D3">
            <w:pPr>
              <w:rPr>
                <w:rFonts w:ascii="Times New Roman" w:hAnsi="Times New Roman"/>
                <w:b/>
                <w:sz w:val="28"/>
                <w:szCs w:val="28"/>
                <w:lang w:eastAsia="ru-RU"/>
              </w:rPr>
            </w:pPr>
          </w:p>
        </w:tc>
        <w:tc>
          <w:tcPr>
            <w:tcW w:w="4785" w:type="dxa"/>
          </w:tcPr>
          <w:p w14:paraId="383C317A" w14:textId="77777777" w:rsidR="008E5341" w:rsidRPr="002D394C" w:rsidRDefault="008E5341" w:rsidP="00A476D3">
            <w:pPr>
              <w:rPr>
                <w:rFonts w:ascii="Times New Roman" w:hAnsi="Times New Roman"/>
                <w:b/>
                <w:sz w:val="28"/>
                <w:szCs w:val="28"/>
                <w:lang w:eastAsia="ru-RU"/>
              </w:rPr>
            </w:pPr>
          </w:p>
        </w:tc>
      </w:tr>
    </w:tbl>
    <w:p w14:paraId="39C1365F" w14:textId="77777777" w:rsidR="00DA6D21" w:rsidRPr="002D394C" w:rsidRDefault="00DA6D21" w:rsidP="007F1AAB">
      <w:pPr>
        <w:rPr>
          <w:color w:val="000000" w:themeColor="text1"/>
          <w:sz w:val="28"/>
          <w:szCs w:val="28"/>
          <w:lang w:val="uk-UA"/>
        </w:rPr>
      </w:pPr>
    </w:p>
    <w:sectPr w:rsidR="00DA6D21" w:rsidRPr="002D394C">
      <w:pgSz w:w="12240" w:h="15840"/>
      <w:pgMar w:top="720" w:right="1170" w:bottom="81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5052" w14:textId="77777777" w:rsidR="00C10FF6" w:rsidRDefault="00C10FF6" w:rsidP="00212FE8">
      <w:pPr>
        <w:spacing w:line="240" w:lineRule="auto"/>
      </w:pPr>
      <w:r>
        <w:separator/>
      </w:r>
    </w:p>
  </w:endnote>
  <w:endnote w:type="continuationSeparator" w:id="0">
    <w:p w14:paraId="40A2F36A" w14:textId="77777777" w:rsidR="00C10FF6" w:rsidRDefault="00C10FF6" w:rsidP="00212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8093" w14:textId="77777777" w:rsidR="00C10FF6" w:rsidRDefault="00C10FF6" w:rsidP="00212FE8">
      <w:pPr>
        <w:spacing w:line="240" w:lineRule="auto"/>
      </w:pPr>
      <w:r>
        <w:separator/>
      </w:r>
    </w:p>
  </w:footnote>
  <w:footnote w:type="continuationSeparator" w:id="0">
    <w:p w14:paraId="1E78F2B7" w14:textId="77777777" w:rsidR="00C10FF6" w:rsidRDefault="00C10FF6" w:rsidP="00212F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C8E"/>
    <w:multiLevelType w:val="hybridMultilevel"/>
    <w:tmpl w:val="CA580764"/>
    <w:lvl w:ilvl="0" w:tplc="2724D8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BB2711"/>
    <w:multiLevelType w:val="hybridMultilevel"/>
    <w:tmpl w:val="61B6F0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B3E98"/>
    <w:multiLevelType w:val="hybridMultilevel"/>
    <w:tmpl w:val="67D86534"/>
    <w:lvl w:ilvl="0" w:tplc="7E5C29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F71FD9"/>
    <w:multiLevelType w:val="hybridMultilevel"/>
    <w:tmpl w:val="EDB85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3F6952"/>
    <w:multiLevelType w:val="hybridMultilevel"/>
    <w:tmpl w:val="A970A590"/>
    <w:lvl w:ilvl="0" w:tplc="638431FA">
      <w:start w:val="1"/>
      <w:numFmt w:val="decimal"/>
      <w:lvlText w:val="%1."/>
      <w:lvlJc w:val="left"/>
      <w:pPr>
        <w:ind w:left="1005" w:hanging="46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331B6376"/>
    <w:multiLevelType w:val="hybridMultilevel"/>
    <w:tmpl w:val="D5D4D80E"/>
    <w:lvl w:ilvl="0" w:tplc="7E5C294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CC6388"/>
    <w:multiLevelType w:val="hybridMultilevel"/>
    <w:tmpl w:val="5714FE2E"/>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7" w15:restartNumberingAfterBreak="0">
    <w:nsid w:val="560A79DC"/>
    <w:multiLevelType w:val="hybridMultilevel"/>
    <w:tmpl w:val="8CA4E3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6BA7334"/>
    <w:multiLevelType w:val="hybridMultilevel"/>
    <w:tmpl w:val="BDCA8D18"/>
    <w:lvl w:ilvl="0" w:tplc="2724D8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2E2400C"/>
    <w:multiLevelType w:val="hybridMultilevel"/>
    <w:tmpl w:val="54F25316"/>
    <w:lvl w:ilvl="0" w:tplc="5EC8721E">
      <w:start w:val="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6CAB25C3"/>
    <w:multiLevelType w:val="hybridMultilevel"/>
    <w:tmpl w:val="DDBAD764"/>
    <w:lvl w:ilvl="0" w:tplc="A528757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abstractNumId w:val="6"/>
  </w:num>
  <w:num w:numId="2">
    <w:abstractNumId w:val="4"/>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2"/>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21"/>
    <w:rsid w:val="00082954"/>
    <w:rsid w:val="0008346E"/>
    <w:rsid w:val="000A2222"/>
    <w:rsid w:val="000B4D0E"/>
    <w:rsid w:val="000C5A67"/>
    <w:rsid w:val="000E44F9"/>
    <w:rsid w:val="001678AB"/>
    <w:rsid w:val="001857C0"/>
    <w:rsid w:val="001E61D6"/>
    <w:rsid w:val="00200CF7"/>
    <w:rsid w:val="00212FE8"/>
    <w:rsid w:val="00247053"/>
    <w:rsid w:val="002759D2"/>
    <w:rsid w:val="00290A14"/>
    <w:rsid w:val="002D394C"/>
    <w:rsid w:val="002E6777"/>
    <w:rsid w:val="00344401"/>
    <w:rsid w:val="0037056E"/>
    <w:rsid w:val="0038737A"/>
    <w:rsid w:val="003D6AC4"/>
    <w:rsid w:val="0040420A"/>
    <w:rsid w:val="00427B83"/>
    <w:rsid w:val="00435E43"/>
    <w:rsid w:val="0046487B"/>
    <w:rsid w:val="00464DF1"/>
    <w:rsid w:val="004A5399"/>
    <w:rsid w:val="004C071C"/>
    <w:rsid w:val="004F1554"/>
    <w:rsid w:val="005A6E80"/>
    <w:rsid w:val="005B6456"/>
    <w:rsid w:val="005F3897"/>
    <w:rsid w:val="00605928"/>
    <w:rsid w:val="00621662"/>
    <w:rsid w:val="00656195"/>
    <w:rsid w:val="00663F01"/>
    <w:rsid w:val="006A38DE"/>
    <w:rsid w:val="006C3969"/>
    <w:rsid w:val="006D24A2"/>
    <w:rsid w:val="006E142C"/>
    <w:rsid w:val="006F073F"/>
    <w:rsid w:val="007167F8"/>
    <w:rsid w:val="0072313E"/>
    <w:rsid w:val="00796DA6"/>
    <w:rsid w:val="007C5B28"/>
    <w:rsid w:val="007D45DD"/>
    <w:rsid w:val="007F1AAB"/>
    <w:rsid w:val="00803281"/>
    <w:rsid w:val="008370A2"/>
    <w:rsid w:val="008634DA"/>
    <w:rsid w:val="00886513"/>
    <w:rsid w:val="008A4DBC"/>
    <w:rsid w:val="008E5341"/>
    <w:rsid w:val="008F4110"/>
    <w:rsid w:val="00911226"/>
    <w:rsid w:val="00942AEB"/>
    <w:rsid w:val="0094407F"/>
    <w:rsid w:val="00954997"/>
    <w:rsid w:val="00982C2F"/>
    <w:rsid w:val="009A3BB2"/>
    <w:rsid w:val="009A70A4"/>
    <w:rsid w:val="009B2C36"/>
    <w:rsid w:val="00A14CE3"/>
    <w:rsid w:val="00A20961"/>
    <w:rsid w:val="00A46825"/>
    <w:rsid w:val="00A642A5"/>
    <w:rsid w:val="00AB1572"/>
    <w:rsid w:val="00B37EAE"/>
    <w:rsid w:val="00BA3FF8"/>
    <w:rsid w:val="00BE68C8"/>
    <w:rsid w:val="00BE7D7E"/>
    <w:rsid w:val="00C06FD2"/>
    <w:rsid w:val="00C10FF6"/>
    <w:rsid w:val="00C34A8C"/>
    <w:rsid w:val="00D44DBC"/>
    <w:rsid w:val="00DA6D21"/>
    <w:rsid w:val="00DD067D"/>
    <w:rsid w:val="00DD36FE"/>
    <w:rsid w:val="00E3298A"/>
    <w:rsid w:val="00E40C17"/>
    <w:rsid w:val="00E458AA"/>
    <w:rsid w:val="00E563C5"/>
    <w:rsid w:val="00E601C4"/>
    <w:rsid w:val="00E66C57"/>
    <w:rsid w:val="00E92C34"/>
    <w:rsid w:val="00EA60F2"/>
    <w:rsid w:val="00EB5ECD"/>
    <w:rsid w:val="00EF5EC8"/>
    <w:rsid w:val="00EF69FF"/>
    <w:rsid w:val="00F13B3A"/>
    <w:rsid w:val="00F17F2C"/>
    <w:rsid w:val="00F21F82"/>
    <w:rsid w:val="00FA2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F0B9"/>
  <w15:docId w15:val="{10BA8E7B-186E-4465-9C09-9A137D08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BE68C8"/>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68C8"/>
    <w:rPr>
      <w:rFonts w:ascii="Segoe UI" w:hAnsi="Segoe UI" w:cs="Segoe UI"/>
      <w:sz w:val="18"/>
      <w:szCs w:val="18"/>
    </w:rPr>
  </w:style>
  <w:style w:type="paragraph" w:styleId="a7">
    <w:name w:val="List Paragraph"/>
    <w:basedOn w:val="a"/>
    <w:uiPriority w:val="34"/>
    <w:qFormat/>
    <w:rsid w:val="008634DA"/>
    <w:pPr>
      <w:ind w:left="720"/>
      <w:contextualSpacing/>
    </w:pPr>
  </w:style>
  <w:style w:type="paragraph" w:styleId="a8">
    <w:name w:val="footnote text"/>
    <w:basedOn w:val="a"/>
    <w:link w:val="a9"/>
    <w:uiPriority w:val="99"/>
    <w:semiHidden/>
    <w:unhideWhenUsed/>
    <w:rsid w:val="00212FE8"/>
    <w:pPr>
      <w:spacing w:line="240" w:lineRule="auto"/>
    </w:pPr>
    <w:rPr>
      <w:sz w:val="20"/>
      <w:szCs w:val="20"/>
    </w:rPr>
  </w:style>
  <w:style w:type="character" w:customStyle="1" w:styleId="a9">
    <w:name w:val="Текст сноски Знак"/>
    <w:basedOn w:val="a0"/>
    <w:link w:val="a8"/>
    <w:uiPriority w:val="99"/>
    <w:semiHidden/>
    <w:rsid w:val="00212FE8"/>
    <w:rPr>
      <w:sz w:val="20"/>
      <w:szCs w:val="20"/>
    </w:rPr>
  </w:style>
  <w:style w:type="character" w:styleId="aa">
    <w:name w:val="footnote reference"/>
    <w:basedOn w:val="a0"/>
    <w:uiPriority w:val="99"/>
    <w:semiHidden/>
    <w:unhideWhenUsed/>
    <w:rsid w:val="00212FE8"/>
    <w:rPr>
      <w:vertAlign w:val="superscript"/>
    </w:rPr>
  </w:style>
  <w:style w:type="character" w:styleId="ab">
    <w:name w:val="Hyperlink"/>
    <w:basedOn w:val="a0"/>
    <w:uiPriority w:val="99"/>
    <w:unhideWhenUsed/>
    <w:rsid w:val="00212FE8"/>
    <w:rPr>
      <w:color w:val="2474B2"/>
      <w:u w:val="single"/>
    </w:rPr>
  </w:style>
  <w:style w:type="character" w:styleId="ac">
    <w:name w:val="FollowedHyperlink"/>
    <w:basedOn w:val="a0"/>
    <w:uiPriority w:val="99"/>
    <w:semiHidden/>
    <w:unhideWhenUsed/>
    <w:rsid w:val="00212FE8"/>
    <w:rPr>
      <w:color w:val="800080" w:themeColor="followedHyperlink"/>
      <w:u w:val="single"/>
    </w:rPr>
  </w:style>
  <w:style w:type="table" w:styleId="ad">
    <w:name w:val="Table Grid"/>
    <w:basedOn w:val="a1"/>
    <w:uiPriority w:val="59"/>
    <w:rsid w:val="00DD067D"/>
    <w:pPr>
      <w:spacing w:line="240" w:lineRule="auto"/>
    </w:pPr>
    <w:rPr>
      <w:rFonts w:asciiTheme="minorHAnsi" w:eastAsia="Times New Roman" w:hAnsiTheme="minorHAnsi" w:cs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6F073F"/>
    <w:pPr>
      <w:spacing w:before="100" w:beforeAutospacing="1" w:after="100" w:afterAutospacing="1" w:line="240" w:lineRule="auto"/>
    </w:pPr>
    <w:rPr>
      <w:rFonts w:ascii="Times New Roman" w:eastAsiaTheme="minorHAnsi" w:hAnsi="Times New Roman" w:cs="Times New Roman"/>
      <w:sz w:val="24"/>
      <w:szCs w:val="24"/>
      <w:lang w:val="uk-UA"/>
    </w:rPr>
  </w:style>
  <w:style w:type="paragraph" w:customStyle="1" w:styleId="rvps2">
    <w:name w:val="rvps2"/>
    <w:basedOn w:val="a"/>
    <w:rsid w:val="006F073F"/>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FontStyle">
    <w:name w:val="Font Style"/>
    <w:uiPriority w:val="99"/>
    <w:rsid w:val="004F1554"/>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289201">
      <w:bodyDiv w:val="1"/>
      <w:marLeft w:val="0"/>
      <w:marRight w:val="0"/>
      <w:marTop w:val="0"/>
      <w:marBottom w:val="0"/>
      <w:divBdr>
        <w:top w:val="none" w:sz="0" w:space="0" w:color="auto"/>
        <w:left w:val="none" w:sz="0" w:space="0" w:color="auto"/>
        <w:bottom w:val="none" w:sz="0" w:space="0" w:color="auto"/>
        <w:right w:val="none" w:sz="0" w:space="0" w:color="auto"/>
      </w:divBdr>
    </w:div>
    <w:div w:id="962538400">
      <w:bodyDiv w:val="1"/>
      <w:marLeft w:val="0"/>
      <w:marRight w:val="0"/>
      <w:marTop w:val="0"/>
      <w:marBottom w:val="0"/>
      <w:divBdr>
        <w:top w:val="none" w:sz="0" w:space="0" w:color="auto"/>
        <w:left w:val="none" w:sz="0" w:space="0" w:color="auto"/>
        <w:bottom w:val="none" w:sz="0" w:space="0" w:color="auto"/>
        <w:right w:val="none" w:sz="0" w:space="0" w:color="auto"/>
      </w:divBdr>
    </w:div>
    <w:div w:id="1204905642">
      <w:bodyDiv w:val="1"/>
      <w:marLeft w:val="0"/>
      <w:marRight w:val="0"/>
      <w:marTop w:val="0"/>
      <w:marBottom w:val="0"/>
      <w:divBdr>
        <w:top w:val="none" w:sz="0" w:space="0" w:color="auto"/>
        <w:left w:val="none" w:sz="0" w:space="0" w:color="auto"/>
        <w:bottom w:val="none" w:sz="0" w:space="0" w:color="auto"/>
        <w:right w:val="none" w:sz="0" w:space="0" w:color="auto"/>
      </w:divBdr>
    </w:div>
    <w:div w:id="1967589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1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379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13137-466D-456E-98C6-0C041A35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Новак</cp:lastModifiedBy>
  <cp:revision>3</cp:revision>
  <cp:lastPrinted>2019-11-26T09:49:00Z</cp:lastPrinted>
  <dcterms:created xsi:type="dcterms:W3CDTF">2020-08-26T09:38:00Z</dcterms:created>
  <dcterms:modified xsi:type="dcterms:W3CDTF">2020-09-07T21:04:00Z</dcterms:modified>
</cp:coreProperties>
</file>