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EC" w:rsidRPr="0009323B" w:rsidRDefault="009E55EC" w:rsidP="009E55EC">
      <w:pPr>
        <w:spacing w:after="0" w:line="240" w:lineRule="auto"/>
        <w:jc w:val="center"/>
        <w:rPr>
          <w:rFonts w:ascii="Times New Roman" w:eastAsia="Calibri" w:hAnsi="Times New Roman" w:cs="Times New Roman"/>
          <w:b/>
          <w:bCs/>
          <w:color w:val="000000"/>
          <w:sz w:val="28"/>
          <w:szCs w:val="28"/>
          <w:shd w:val="clear" w:color="auto" w:fill="FFFFFF"/>
          <w:lang w:val="uk-UA"/>
        </w:rPr>
      </w:pPr>
      <w:bookmarkStart w:id="0" w:name="_GoBack"/>
      <w:r w:rsidRPr="0009323B">
        <w:rPr>
          <w:rFonts w:ascii="Times New Roman" w:eastAsia="Calibri" w:hAnsi="Times New Roman" w:cs="Times New Roman"/>
          <w:b/>
          <w:bCs/>
          <w:color w:val="000000"/>
          <w:sz w:val="28"/>
          <w:szCs w:val="28"/>
          <w:shd w:val="clear" w:color="auto" w:fill="FFFFFF"/>
          <w:lang w:val="uk-UA"/>
        </w:rPr>
        <w:t>Порівняльна таблиця до проекту Закону України</w:t>
      </w:r>
    </w:p>
    <w:p w:rsidR="009E55EC" w:rsidRPr="0009323B" w:rsidRDefault="009E55EC" w:rsidP="009F71F6">
      <w:pPr>
        <w:spacing w:line="240" w:lineRule="auto"/>
        <w:jc w:val="center"/>
        <w:rPr>
          <w:rFonts w:ascii="Times New Roman" w:eastAsia="Calibri" w:hAnsi="Times New Roman" w:cs="Times New Roman"/>
          <w:b/>
          <w:bCs/>
          <w:color w:val="000000"/>
          <w:sz w:val="28"/>
          <w:szCs w:val="28"/>
          <w:shd w:val="clear" w:color="auto" w:fill="FFFFFF"/>
          <w:lang w:val="uk-UA"/>
        </w:rPr>
      </w:pPr>
      <w:r w:rsidRPr="0009323B">
        <w:rPr>
          <w:rFonts w:ascii="Times New Roman" w:eastAsia="Calibri" w:hAnsi="Times New Roman" w:cs="Times New Roman"/>
          <w:b/>
          <w:bCs/>
          <w:color w:val="000000"/>
          <w:sz w:val="28"/>
          <w:szCs w:val="28"/>
          <w:shd w:val="clear" w:color="auto" w:fill="FFFFFF"/>
          <w:lang w:val="uk-UA"/>
        </w:rPr>
        <w:t>«Про внесення зміни</w:t>
      </w:r>
      <w:r w:rsidR="00FB4091" w:rsidRPr="0009323B">
        <w:rPr>
          <w:rFonts w:ascii="Times New Roman" w:eastAsia="Calibri" w:hAnsi="Times New Roman" w:cs="Times New Roman"/>
          <w:b/>
          <w:bCs/>
          <w:color w:val="000000"/>
          <w:sz w:val="28"/>
          <w:szCs w:val="28"/>
          <w:shd w:val="clear" w:color="auto" w:fill="FFFFFF"/>
          <w:lang w:val="uk-UA"/>
        </w:rPr>
        <w:t xml:space="preserve"> до</w:t>
      </w:r>
      <w:r w:rsidR="009F71F6" w:rsidRPr="0009323B">
        <w:rPr>
          <w:rFonts w:ascii="Times New Roman" w:eastAsia="Calibri" w:hAnsi="Times New Roman" w:cs="Times New Roman"/>
          <w:b/>
          <w:bCs/>
          <w:color w:val="000000"/>
          <w:sz w:val="28"/>
          <w:szCs w:val="28"/>
          <w:shd w:val="clear" w:color="auto" w:fill="FFFFFF"/>
          <w:lang w:val="uk-UA"/>
        </w:rPr>
        <w:t xml:space="preserve"> Податкового кодексу України </w:t>
      </w:r>
      <w:r w:rsidRPr="0009323B">
        <w:rPr>
          <w:rFonts w:ascii="Times New Roman" w:eastAsia="Calibri" w:hAnsi="Times New Roman" w:cs="Times New Roman"/>
          <w:b/>
          <w:bCs/>
          <w:color w:val="000000"/>
          <w:sz w:val="28"/>
          <w:szCs w:val="28"/>
          <w:shd w:val="clear" w:color="auto" w:fill="FFFFFF"/>
          <w:lang w:val="uk-UA"/>
        </w:rPr>
        <w:t>щодо</w:t>
      </w:r>
      <w:r w:rsidR="00561608" w:rsidRPr="0009323B">
        <w:rPr>
          <w:rFonts w:ascii="Times New Roman" w:eastAsia="Calibri" w:hAnsi="Times New Roman" w:cs="Times New Roman"/>
          <w:b/>
          <w:bCs/>
          <w:color w:val="000000"/>
          <w:sz w:val="28"/>
          <w:szCs w:val="28"/>
          <w:shd w:val="clear" w:color="auto" w:fill="FFFFFF"/>
          <w:lang w:val="uk-UA"/>
        </w:rPr>
        <w:t xml:space="preserve"> оподаткування суб’єктів, які здійснюють</w:t>
      </w:r>
      <w:r w:rsidR="00950538" w:rsidRPr="0009323B">
        <w:rPr>
          <w:rFonts w:ascii="Times New Roman" w:eastAsia="Calibri" w:hAnsi="Times New Roman" w:cs="Times New Roman"/>
          <w:b/>
          <w:bCs/>
          <w:color w:val="000000"/>
          <w:sz w:val="28"/>
          <w:szCs w:val="28"/>
          <w:shd w:val="clear" w:color="auto" w:fill="FFFFFF"/>
          <w:lang w:val="uk-UA"/>
        </w:rPr>
        <w:t xml:space="preserve"> </w:t>
      </w:r>
      <w:r w:rsidR="00561608" w:rsidRPr="0009323B">
        <w:rPr>
          <w:rFonts w:ascii="Times New Roman" w:hAnsi="Times New Roman" w:cs="Times New Roman"/>
          <w:b/>
          <w:sz w:val="28"/>
          <w:szCs w:val="28"/>
          <w:shd w:val="clear" w:color="auto" w:fill="FFFFFF"/>
          <w:lang w:val="uk-UA"/>
        </w:rPr>
        <w:t xml:space="preserve">відрахування (винагороду) за використання об’єктів авторського права і (або) суміжних прав </w:t>
      </w:r>
      <w:r w:rsidR="0073488C" w:rsidRPr="0009323B">
        <w:rPr>
          <w:rFonts w:ascii="Times New Roman" w:eastAsia="Calibri" w:hAnsi="Times New Roman" w:cs="Times New Roman"/>
          <w:b/>
          <w:bCs/>
          <w:sz w:val="28"/>
          <w:szCs w:val="28"/>
          <w:lang w:val="uk-UA"/>
        </w:rPr>
        <w:t>організаціям</w:t>
      </w:r>
      <w:r w:rsidR="00561608" w:rsidRPr="0009323B">
        <w:rPr>
          <w:rFonts w:ascii="Times New Roman" w:eastAsia="Calibri" w:hAnsi="Times New Roman" w:cs="Times New Roman"/>
          <w:b/>
          <w:bCs/>
          <w:sz w:val="28"/>
          <w:szCs w:val="28"/>
          <w:lang w:val="uk-UA"/>
        </w:rPr>
        <w:t xml:space="preserve"> колективного управління</w:t>
      </w:r>
      <w:r w:rsidR="00B978A5" w:rsidRPr="0009323B">
        <w:rPr>
          <w:rFonts w:ascii="Times New Roman" w:eastAsia="Calibri" w:hAnsi="Times New Roman" w:cs="Times New Roman"/>
          <w:b/>
          <w:bCs/>
          <w:color w:val="000000"/>
          <w:sz w:val="28"/>
          <w:szCs w:val="28"/>
          <w:shd w:val="clear" w:color="auto" w:fill="FFFFFF"/>
          <w:lang w:val="uk-UA"/>
        </w:rPr>
        <w:t>»</w:t>
      </w:r>
    </w:p>
    <w:tbl>
      <w:tblPr>
        <w:tblStyle w:val="1"/>
        <w:tblW w:w="0" w:type="auto"/>
        <w:tblLook w:val="04A0" w:firstRow="1" w:lastRow="0" w:firstColumn="1" w:lastColumn="0" w:noHBand="0" w:noVBand="1"/>
      </w:tblPr>
      <w:tblGrid>
        <w:gridCol w:w="7270"/>
        <w:gridCol w:w="7290"/>
      </w:tblGrid>
      <w:tr w:rsidR="009E55EC" w:rsidRPr="0009323B" w:rsidTr="00704E76">
        <w:tc>
          <w:tcPr>
            <w:tcW w:w="7270" w:type="dxa"/>
          </w:tcPr>
          <w:p w:rsidR="009E55EC" w:rsidRPr="0009323B" w:rsidRDefault="009E55EC" w:rsidP="009E55EC">
            <w:pPr>
              <w:jc w:val="center"/>
              <w:rPr>
                <w:rFonts w:ascii="Times New Roman" w:eastAsia="Calibri" w:hAnsi="Times New Roman" w:cs="Times New Roman"/>
                <w:sz w:val="28"/>
                <w:szCs w:val="28"/>
              </w:rPr>
            </w:pPr>
            <w:r w:rsidRPr="0009323B">
              <w:rPr>
                <w:rFonts w:ascii="Times New Roman" w:eastAsia="Calibri" w:hAnsi="Times New Roman" w:cs="Times New Roman"/>
                <w:b/>
                <w:sz w:val="28"/>
                <w:szCs w:val="28"/>
              </w:rPr>
              <w:t>Чинна редакція</w:t>
            </w:r>
          </w:p>
        </w:tc>
        <w:tc>
          <w:tcPr>
            <w:tcW w:w="7290" w:type="dxa"/>
          </w:tcPr>
          <w:p w:rsidR="009E55EC" w:rsidRPr="0009323B" w:rsidRDefault="009E55EC" w:rsidP="009E55EC">
            <w:pPr>
              <w:jc w:val="center"/>
              <w:rPr>
                <w:rFonts w:ascii="Times New Roman" w:eastAsia="Calibri" w:hAnsi="Times New Roman" w:cs="Times New Roman"/>
                <w:sz w:val="28"/>
                <w:szCs w:val="28"/>
              </w:rPr>
            </w:pPr>
            <w:r w:rsidRPr="0009323B">
              <w:rPr>
                <w:rFonts w:ascii="Times New Roman" w:eastAsia="Calibri" w:hAnsi="Times New Roman" w:cs="Times New Roman"/>
                <w:b/>
                <w:sz w:val="28"/>
                <w:szCs w:val="28"/>
              </w:rPr>
              <w:t>Редакція з урахуванням запропонованих змін</w:t>
            </w:r>
          </w:p>
        </w:tc>
      </w:tr>
      <w:tr w:rsidR="009E55EC" w:rsidRPr="0009323B" w:rsidTr="00645880">
        <w:tc>
          <w:tcPr>
            <w:tcW w:w="14560" w:type="dxa"/>
            <w:gridSpan w:val="2"/>
          </w:tcPr>
          <w:p w:rsidR="009F71F6" w:rsidRPr="0009323B" w:rsidRDefault="009F71F6" w:rsidP="009F71F6">
            <w:pPr>
              <w:jc w:val="center"/>
              <w:rPr>
                <w:rFonts w:ascii="Times New Roman" w:eastAsia="Calibri" w:hAnsi="Times New Roman" w:cs="Times New Roman"/>
                <w:b/>
                <w:bCs/>
                <w:sz w:val="28"/>
                <w:szCs w:val="28"/>
                <w:shd w:val="clear" w:color="auto" w:fill="FFFFFF"/>
              </w:rPr>
            </w:pPr>
            <w:r w:rsidRPr="0009323B">
              <w:rPr>
                <w:rFonts w:ascii="Times New Roman" w:eastAsia="Calibri" w:hAnsi="Times New Roman" w:cs="Times New Roman"/>
                <w:b/>
                <w:bCs/>
                <w:sz w:val="28"/>
                <w:szCs w:val="28"/>
                <w:shd w:val="clear" w:color="auto" w:fill="FFFFFF"/>
              </w:rPr>
              <w:t>Податковий кодекс України</w:t>
            </w:r>
          </w:p>
          <w:p w:rsidR="009E55EC" w:rsidRPr="0009323B" w:rsidRDefault="009F71F6" w:rsidP="009F71F6">
            <w:pPr>
              <w:jc w:val="center"/>
              <w:rPr>
                <w:rFonts w:ascii="Times New Roman" w:eastAsia="Calibri" w:hAnsi="Times New Roman" w:cs="Times New Roman"/>
                <w:b/>
                <w:bCs/>
                <w:color w:val="000000"/>
                <w:sz w:val="28"/>
                <w:szCs w:val="28"/>
                <w:shd w:val="clear" w:color="auto" w:fill="FFFFFF"/>
              </w:rPr>
            </w:pPr>
            <w:r w:rsidRPr="0009323B">
              <w:rPr>
                <w:rFonts w:ascii="Times New Roman" w:eastAsia="Calibri" w:hAnsi="Times New Roman" w:cs="Times New Roman"/>
                <w:bCs/>
                <w:sz w:val="28"/>
                <w:szCs w:val="28"/>
                <w:shd w:val="clear" w:color="auto" w:fill="FFFFFF"/>
              </w:rPr>
              <w:t>(Відомості Верховної Ради України (ВВР), 2011, № 13-14, № 15-16, № 17, ст.112)</w:t>
            </w:r>
          </w:p>
          <w:p w:rsidR="009E55EC" w:rsidRPr="0009323B" w:rsidRDefault="009E55EC" w:rsidP="009F71F6">
            <w:pPr>
              <w:pStyle w:val="HTML"/>
              <w:tabs>
                <w:tab w:val="left" w:pos="9900"/>
              </w:tabs>
              <w:rPr>
                <w:rFonts w:ascii="Times New Roman" w:eastAsia="Calibri" w:hAnsi="Times New Roman" w:cs="Times New Roman"/>
              </w:rPr>
            </w:pPr>
          </w:p>
        </w:tc>
      </w:tr>
      <w:tr w:rsidR="001D3284" w:rsidRPr="0009323B" w:rsidTr="001734FA">
        <w:tc>
          <w:tcPr>
            <w:tcW w:w="14560" w:type="dxa"/>
            <w:gridSpan w:val="2"/>
            <w:shd w:val="clear" w:color="auto" w:fill="auto"/>
          </w:tcPr>
          <w:p w:rsidR="001D3284" w:rsidRPr="0009323B" w:rsidRDefault="001D3284" w:rsidP="001D3284">
            <w:pPr>
              <w:pBdr>
                <w:top w:val="nil"/>
                <w:left w:val="nil"/>
                <w:bottom w:val="nil"/>
                <w:right w:val="nil"/>
                <w:between w:val="nil"/>
              </w:pBdr>
              <w:jc w:val="center"/>
              <w:rPr>
                <w:rFonts w:ascii="Times New Roman" w:hAnsi="Times New Roman" w:cs="Times New Roman"/>
                <w:b/>
                <w:bCs/>
                <w:sz w:val="28"/>
                <w:szCs w:val="28"/>
              </w:rPr>
            </w:pPr>
            <w:r w:rsidRPr="0009323B">
              <w:rPr>
                <w:rFonts w:ascii="Times New Roman" w:hAnsi="Times New Roman" w:cs="Times New Roman"/>
                <w:b/>
                <w:bCs/>
                <w:sz w:val="28"/>
                <w:szCs w:val="28"/>
              </w:rPr>
              <w:t>Розділ І. ЗАГАЛЬНІ ПОЛОЖЕННЯ</w:t>
            </w:r>
          </w:p>
        </w:tc>
      </w:tr>
      <w:tr w:rsidR="00F35904" w:rsidRPr="0009323B" w:rsidTr="004716AC">
        <w:tc>
          <w:tcPr>
            <w:tcW w:w="14560" w:type="dxa"/>
            <w:gridSpan w:val="2"/>
            <w:shd w:val="clear" w:color="auto" w:fill="auto"/>
          </w:tcPr>
          <w:p w:rsidR="00F35904" w:rsidRPr="0009323B" w:rsidRDefault="00F35904" w:rsidP="00F35904">
            <w:pPr>
              <w:pBdr>
                <w:top w:val="nil"/>
                <w:left w:val="nil"/>
                <w:bottom w:val="nil"/>
                <w:right w:val="nil"/>
                <w:between w:val="nil"/>
              </w:pBdr>
              <w:jc w:val="center"/>
              <w:rPr>
                <w:rFonts w:ascii="Times New Roman" w:hAnsi="Times New Roman" w:cs="Times New Roman"/>
                <w:b/>
                <w:bCs/>
                <w:sz w:val="28"/>
                <w:szCs w:val="28"/>
              </w:rPr>
            </w:pPr>
            <w:r w:rsidRPr="0009323B">
              <w:rPr>
                <w:rFonts w:ascii="Times New Roman" w:hAnsi="Times New Roman" w:cs="Times New Roman"/>
                <w:b/>
                <w:bCs/>
                <w:sz w:val="28"/>
                <w:szCs w:val="28"/>
              </w:rPr>
              <w:t>Розділ ІІІ. ПОДАТОК НА ПРИБУТОК ПІДПРИЄМСТВ</w:t>
            </w:r>
          </w:p>
        </w:tc>
      </w:tr>
      <w:tr w:rsidR="007C130D" w:rsidRPr="0009323B" w:rsidTr="00704E76">
        <w:tc>
          <w:tcPr>
            <w:tcW w:w="7270" w:type="dxa"/>
            <w:shd w:val="clear" w:color="auto" w:fill="auto"/>
          </w:tcPr>
          <w:p w:rsidR="009172A9" w:rsidRPr="0009323B" w:rsidRDefault="009172A9" w:rsidP="009172A9">
            <w:pPr>
              <w:shd w:val="clear" w:color="auto" w:fill="FFFFFF"/>
              <w:spacing w:after="150"/>
              <w:ind w:firstLine="450"/>
              <w:jc w:val="both"/>
              <w:rPr>
                <w:rFonts w:ascii="Times New Roman" w:eastAsia="Times New Roman" w:hAnsi="Times New Roman" w:cs="Times New Roman"/>
                <w:sz w:val="28"/>
                <w:szCs w:val="28"/>
                <w:lang w:eastAsia="uk-UA"/>
              </w:rPr>
            </w:pPr>
            <w:r w:rsidRPr="0009323B">
              <w:rPr>
                <w:rFonts w:ascii="Times New Roman" w:eastAsia="Times New Roman" w:hAnsi="Times New Roman" w:cs="Times New Roman"/>
                <w:b/>
                <w:bCs/>
                <w:sz w:val="28"/>
                <w:szCs w:val="28"/>
                <w:lang w:eastAsia="uk-UA"/>
              </w:rPr>
              <w:t>Стаття 14.</w:t>
            </w:r>
            <w:r w:rsidRPr="0009323B">
              <w:rPr>
                <w:rFonts w:ascii="Times New Roman" w:eastAsia="Times New Roman" w:hAnsi="Times New Roman" w:cs="Times New Roman"/>
                <w:sz w:val="28"/>
                <w:szCs w:val="28"/>
                <w:lang w:eastAsia="uk-UA"/>
              </w:rPr>
              <w:t> Визначення понять</w:t>
            </w:r>
          </w:p>
          <w:p w:rsidR="009172A9" w:rsidRPr="0009323B" w:rsidRDefault="009172A9" w:rsidP="009172A9">
            <w:pPr>
              <w:shd w:val="clear" w:color="auto" w:fill="FFFFFF"/>
              <w:spacing w:after="150"/>
              <w:ind w:firstLine="450"/>
              <w:jc w:val="both"/>
              <w:rPr>
                <w:rFonts w:ascii="Times New Roman" w:eastAsia="Times New Roman" w:hAnsi="Times New Roman" w:cs="Times New Roman"/>
                <w:sz w:val="28"/>
                <w:szCs w:val="28"/>
                <w:lang w:eastAsia="uk-UA"/>
              </w:rPr>
            </w:pPr>
            <w:bookmarkStart w:id="1" w:name="n257"/>
            <w:bookmarkEnd w:id="1"/>
            <w:r w:rsidRPr="0009323B">
              <w:rPr>
                <w:rFonts w:ascii="Times New Roman" w:eastAsia="Times New Roman" w:hAnsi="Times New Roman" w:cs="Times New Roman"/>
                <w:sz w:val="28"/>
                <w:szCs w:val="28"/>
                <w:lang w:eastAsia="uk-UA"/>
              </w:rPr>
              <w:t>14.1. У цьому Кодексі поняття вживаються в такому значенні:</w:t>
            </w:r>
          </w:p>
          <w:p w:rsidR="007C130D" w:rsidRPr="0009323B" w:rsidRDefault="007C130D" w:rsidP="007C130D">
            <w:pPr>
              <w:pBdr>
                <w:top w:val="nil"/>
                <w:left w:val="nil"/>
                <w:bottom w:val="nil"/>
                <w:right w:val="nil"/>
                <w:between w:val="nil"/>
              </w:pBdr>
              <w:jc w:val="both"/>
              <w:rPr>
                <w:rFonts w:ascii="Times New Roman" w:hAnsi="Times New Roman" w:cs="Times New Roman"/>
                <w:b/>
                <w:bCs/>
                <w:sz w:val="28"/>
                <w:szCs w:val="28"/>
              </w:rPr>
            </w:pPr>
          </w:p>
        </w:tc>
        <w:tc>
          <w:tcPr>
            <w:tcW w:w="7290" w:type="dxa"/>
            <w:shd w:val="clear" w:color="auto" w:fill="auto"/>
          </w:tcPr>
          <w:p w:rsidR="009172A9" w:rsidRPr="0009323B" w:rsidRDefault="009172A9" w:rsidP="009172A9">
            <w:pPr>
              <w:shd w:val="clear" w:color="auto" w:fill="FFFFFF"/>
              <w:spacing w:after="150"/>
              <w:ind w:firstLine="450"/>
              <w:jc w:val="both"/>
              <w:rPr>
                <w:rFonts w:ascii="Times New Roman" w:eastAsia="Times New Roman" w:hAnsi="Times New Roman" w:cs="Times New Roman"/>
                <w:sz w:val="28"/>
                <w:szCs w:val="28"/>
                <w:lang w:eastAsia="uk-UA"/>
              </w:rPr>
            </w:pPr>
            <w:r w:rsidRPr="0009323B">
              <w:rPr>
                <w:rFonts w:ascii="Times New Roman" w:eastAsia="Times New Roman" w:hAnsi="Times New Roman" w:cs="Times New Roman"/>
                <w:b/>
                <w:bCs/>
                <w:sz w:val="28"/>
                <w:szCs w:val="28"/>
                <w:lang w:eastAsia="uk-UA"/>
              </w:rPr>
              <w:t>Стаття 14.</w:t>
            </w:r>
            <w:r w:rsidRPr="0009323B">
              <w:rPr>
                <w:rFonts w:ascii="Times New Roman" w:eastAsia="Times New Roman" w:hAnsi="Times New Roman" w:cs="Times New Roman"/>
                <w:sz w:val="28"/>
                <w:szCs w:val="28"/>
                <w:lang w:eastAsia="uk-UA"/>
              </w:rPr>
              <w:t> Визначення понять</w:t>
            </w:r>
          </w:p>
          <w:p w:rsidR="009172A9" w:rsidRPr="0009323B" w:rsidRDefault="009172A9" w:rsidP="009172A9">
            <w:pPr>
              <w:shd w:val="clear" w:color="auto" w:fill="FFFFFF"/>
              <w:spacing w:after="150"/>
              <w:ind w:firstLine="450"/>
              <w:jc w:val="both"/>
              <w:rPr>
                <w:rFonts w:ascii="Times New Roman" w:eastAsia="Times New Roman" w:hAnsi="Times New Roman" w:cs="Times New Roman"/>
                <w:sz w:val="28"/>
                <w:szCs w:val="28"/>
                <w:lang w:eastAsia="uk-UA"/>
              </w:rPr>
            </w:pPr>
            <w:r w:rsidRPr="0009323B">
              <w:rPr>
                <w:rFonts w:ascii="Times New Roman" w:eastAsia="Times New Roman" w:hAnsi="Times New Roman" w:cs="Times New Roman"/>
                <w:sz w:val="28"/>
                <w:szCs w:val="28"/>
                <w:lang w:eastAsia="uk-UA"/>
              </w:rPr>
              <w:t>14.1. У цьому Кодексі поняття вживаються в такому значенні:</w:t>
            </w:r>
          </w:p>
          <w:p w:rsidR="007C130D" w:rsidRPr="0009323B" w:rsidRDefault="007C130D" w:rsidP="007C130D">
            <w:pPr>
              <w:pBdr>
                <w:top w:val="nil"/>
                <w:left w:val="nil"/>
                <w:bottom w:val="nil"/>
                <w:right w:val="nil"/>
                <w:between w:val="nil"/>
              </w:pBdr>
              <w:jc w:val="both"/>
              <w:rPr>
                <w:rFonts w:ascii="Times New Roman" w:hAnsi="Times New Roman" w:cs="Times New Roman"/>
                <w:bCs/>
                <w:sz w:val="28"/>
                <w:szCs w:val="28"/>
              </w:rPr>
            </w:pPr>
          </w:p>
        </w:tc>
      </w:tr>
      <w:tr w:rsidR="009172A9" w:rsidRPr="0009323B" w:rsidTr="00704E76">
        <w:tc>
          <w:tcPr>
            <w:tcW w:w="7270" w:type="dxa"/>
            <w:shd w:val="clear" w:color="auto" w:fill="auto"/>
          </w:tcPr>
          <w:p w:rsidR="00876AD2" w:rsidRPr="0009323B" w:rsidRDefault="00876AD2" w:rsidP="00876AD2">
            <w:pPr>
              <w:shd w:val="clear" w:color="auto" w:fill="FFFFFF"/>
              <w:spacing w:after="150"/>
              <w:ind w:firstLine="450"/>
              <w:jc w:val="both"/>
              <w:rPr>
                <w:rFonts w:ascii="Times New Roman" w:eastAsia="Times New Roman" w:hAnsi="Times New Roman" w:cs="Times New Roman"/>
                <w:sz w:val="28"/>
                <w:szCs w:val="28"/>
                <w:lang w:eastAsia="uk-UA"/>
              </w:rPr>
            </w:pPr>
            <w:r w:rsidRPr="0009323B">
              <w:rPr>
                <w:rFonts w:ascii="Times New Roman" w:eastAsia="Times New Roman" w:hAnsi="Times New Roman" w:cs="Times New Roman"/>
                <w:sz w:val="28"/>
                <w:szCs w:val="28"/>
                <w:lang w:eastAsia="uk-UA"/>
              </w:rPr>
              <w:t xml:space="preserve">14.1.225. роялті - будь-який платіж, отриманий як винагорода за використання або за надання права на використання об’єкта права інтелектуальної власності, а саме на будь-які літературні твори, твори мистецтва або науки, включаючи комп’ютерні програми, інші записи на носіях інформації, відео- або аудіокасети, кінематографічні фільми або плівки для радіо- чи телевізійного мовлення, передачі (програми) організацій мовлення, інші аудіовізуальні твори, будь-які права, які охороняються патентом, будь-які зареєстровані торговельні марки (знаки на товари і послуги), права інтелектуальної власності на дизайн, секретне креслення, модель, формулу, процес, права інтелектуальної власності на інформацію щодо </w:t>
            </w:r>
            <w:r w:rsidRPr="0009323B">
              <w:rPr>
                <w:rFonts w:ascii="Times New Roman" w:eastAsia="Times New Roman" w:hAnsi="Times New Roman" w:cs="Times New Roman"/>
                <w:sz w:val="28"/>
                <w:szCs w:val="28"/>
                <w:lang w:eastAsia="uk-UA"/>
              </w:rPr>
              <w:lastRenderedPageBreak/>
              <w:t>промислового, комерційного або наукового досвіду (ноу-хау).</w:t>
            </w:r>
          </w:p>
          <w:p w:rsidR="00876AD2" w:rsidRPr="0009323B" w:rsidRDefault="00F168AF" w:rsidP="00876AD2">
            <w:pPr>
              <w:shd w:val="clear" w:color="auto" w:fill="FFFFFF"/>
              <w:spacing w:after="150"/>
              <w:ind w:firstLine="450"/>
              <w:jc w:val="both"/>
              <w:rPr>
                <w:rFonts w:ascii="Times New Roman" w:eastAsia="Times New Roman" w:hAnsi="Times New Roman" w:cs="Times New Roman"/>
                <w:sz w:val="28"/>
                <w:szCs w:val="28"/>
                <w:lang w:eastAsia="uk-UA"/>
              </w:rPr>
            </w:pPr>
            <w:bookmarkStart w:id="2" w:name="n10493"/>
            <w:bookmarkEnd w:id="2"/>
            <w:r w:rsidRPr="0009323B">
              <w:rPr>
                <w:rFonts w:ascii="Times New Roman" w:eastAsia="Times New Roman" w:hAnsi="Times New Roman" w:cs="Times New Roman"/>
                <w:sz w:val="28"/>
                <w:szCs w:val="28"/>
                <w:lang w:eastAsia="uk-UA"/>
              </w:rPr>
              <w:t>…</w:t>
            </w:r>
          </w:p>
          <w:p w:rsidR="009172A9" w:rsidRPr="0009323B" w:rsidRDefault="009172A9" w:rsidP="007C130D">
            <w:pPr>
              <w:pBdr>
                <w:top w:val="nil"/>
                <w:left w:val="nil"/>
                <w:bottom w:val="nil"/>
                <w:right w:val="nil"/>
                <w:between w:val="nil"/>
              </w:pBdr>
              <w:jc w:val="both"/>
              <w:rPr>
                <w:rFonts w:ascii="Times New Roman" w:hAnsi="Times New Roman" w:cs="Times New Roman"/>
                <w:b/>
                <w:bCs/>
                <w:sz w:val="28"/>
                <w:szCs w:val="28"/>
              </w:rPr>
            </w:pPr>
          </w:p>
        </w:tc>
        <w:tc>
          <w:tcPr>
            <w:tcW w:w="7290" w:type="dxa"/>
            <w:shd w:val="clear" w:color="auto" w:fill="auto"/>
          </w:tcPr>
          <w:p w:rsidR="00876AD2" w:rsidRPr="0009323B" w:rsidRDefault="00876AD2" w:rsidP="00876AD2">
            <w:pPr>
              <w:pBdr>
                <w:top w:val="nil"/>
                <w:left w:val="nil"/>
                <w:bottom w:val="nil"/>
                <w:right w:val="nil"/>
                <w:between w:val="nil"/>
              </w:pBdr>
              <w:spacing w:line="276" w:lineRule="auto"/>
              <w:jc w:val="both"/>
              <w:rPr>
                <w:rFonts w:ascii="Times New Roman" w:eastAsia="Calibri" w:hAnsi="Times New Roman" w:cs="Times New Roman"/>
                <w:b/>
                <w:bCs/>
                <w:sz w:val="28"/>
                <w:szCs w:val="28"/>
              </w:rPr>
            </w:pPr>
            <w:r w:rsidRPr="0009323B">
              <w:rPr>
                <w:rFonts w:ascii="Times New Roman" w:eastAsia="Times New Roman" w:hAnsi="Times New Roman" w:cs="Times New Roman"/>
                <w:sz w:val="28"/>
                <w:szCs w:val="28"/>
                <w:lang w:eastAsia="uk-UA"/>
              </w:rPr>
              <w:lastRenderedPageBreak/>
              <w:t xml:space="preserve">14.1.225. роялті - будь-який платіж, </w:t>
            </w:r>
            <w:r w:rsidRPr="0009323B">
              <w:rPr>
                <w:rFonts w:ascii="Times New Roman" w:eastAsia="Calibri" w:hAnsi="Times New Roman" w:cs="Times New Roman"/>
                <w:b/>
                <w:bCs/>
                <w:sz w:val="28"/>
                <w:szCs w:val="28"/>
              </w:rPr>
              <w:t xml:space="preserve">в тому числі платіж, що сплачується користувачем об’єктів авторського права і (або) суміжних прав на користь організацій колективного управління, відповідно до Закону України «Про ефективне управління майновими правами правовласників у сфері авторського права і (або) суміжних прав», </w:t>
            </w:r>
            <w:r w:rsidRPr="0009323B">
              <w:rPr>
                <w:rFonts w:ascii="Times New Roman" w:eastAsia="Times New Roman" w:hAnsi="Times New Roman" w:cs="Times New Roman"/>
                <w:sz w:val="28"/>
                <w:szCs w:val="28"/>
                <w:lang w:eastAsia="uk-UA"/>
              </w:rPr>
              <w:t>отриманий як винагорода за використання або за надання права на використання об’єкта права інтелектуальної власності</w:t>
            </w:r>
            <w:r w:rsidRPr="0009323B">
              <w:rPr>
                <w:rFonts w:ascii="Times New Roman" w:eastAsia="Calibri" w:hAnsi="Times New Roman" w:cs="Times New Roman"/>
                <w:b/>
                <w:bCs/>
                <w:sz w:val="28"/>
                <w:szCs w:val="28"/>
              </w:rPr>
              <w:t xml:space="preserve">, </w:t>
            </w:r>
            <w:r w:rsidRPr="0009323B">
              <w:rPr>
                <w:rFonts w:ascii="Times New Roman" w:eastAsia="Times New Roman" w:hAnsi="Times New Roman" w:cs="Times New Roman"/>
                <w:sz w:val="28"/>
                <w:szCs w:val="28"/>
                <w:lang w:eastAsia="uk-UA"/>
              </w:rPr>
              <w:t xml:space="preserve">а саме на будь-які літературні твори, твори мистецтва або науки, включаючи комп’ютерні програми, інші записи на носіях інформації, </w:t>
            </w:r>
            <w:r w:rsidRPr="0009323B">
              <w:rPr>
                <w:rFonts w:ascii="Times New Roman" w:eastAsia="Times New Roman" w:hAnsi="Times New Roman" w:cs="Times New Roman"/>
                <w:sz w:val="28"/>
                <w:szCs w:val="28"/>
                <w:lang w:eastAsia="uk-UA"/>
              </w:rPr>
              <w:lastRenderedPageBreak/>
              <w:t>відео- або аудіокасети, кінематографічні фільми або плівки для радіо- чи телевізійного мовлення, передачі (програми) організацій мовлення, інші аудіовізуальні твори, будь-які права, які охороняються патентом, будь-які зареєстровані торговельні марки (знаки на товари і послуги), права інтелектуальної власності на дизайн, секретне креслення, модель, формулу, процес, права інтелектуальної власності на інформацію щодо промислового, комерційного або наукового досвіду (ноу-хау).</w:t>
            </w:r>
          </w:p>
          <w:p w:rsidR="00876AD2" w:rsidRPr="0009323B" w:rsidRDefault="00F168AF" w:rsidP="00876AD2">
            <w:pPr>
              <w:shd w:val="clear" w:color="auto" w:fill="FFFFFF"/>
              <w:spacing w:after="150"/>
              <w:ind w:firstLine="450"/>
              <w:jc w:val="both"/>
              <w:rPr>
                <w:rFonts w:ascii="Times New Roman" w:eastAsia="Times New Roman" w:hAnsi="Times New Roman" w:cs="Times New Roman"/>
                <w:sz w:val="28"/>
                <w:szCs w:val="28"/>
                <w:lang w:eastAsia="uk-UA"/>
              </w:rPr>
            </w:pPr>
            <w:r w:rsidRPr="0009323B">
              <w:rPr>
                <w:rFonts w:ascii="Times New Roman" w:eastAsia="Times New Roman" w:hAnsi="Times New Roman" w:cs="Times New Roman"/>
                <w:sz w:val="28"/>
                <w:szCs w:val="28"/>
                <w:lang w:eastAsia="uk-UA"/>
              </w:rPr>
              <w:t>…</w:t>
            </w:r>
          </w:p>
          <w:p w:rsidR="009172A9" w:rsidRPr="0009323B" w:rsidRDefault="009172A9" w:rsidP="007C130D">
            <w:pPr>
              <w:pBdr>
                <w:top w:val="nil"/>
                <w:left w:val="nil"/>
                <w:bottom w:val="nil"/>
                <w:right w:val="nil"/>
                <w:between w:val="nil"/>
              </w:pBdr>
              <w:jc w:val="both"/>
              <w:rPr>
                <w:rFonts w:ascii="Times New Roman" w:hAnsi="Times New Roman" w:cs="Times New Roman"/>
                <w:bCs/>
                <w:sz w:val="28"/>
                <w:szCs w:val="28"/>
              </w:rPr>
            </w:pPr>
          </w:p>
        </w:tc>
      </w:tr>
      <w:tr w:rsidR="009172A9" w:rsidRPr="0009323B" w:rsidTr="00572920">
        <w:tc>
          <w:tcPr>
            <w:tcW w:w="7270" w:type="dxa"/>
            <w:shd w:val="clear" w:color="auto" w:fill="auto"/>
          </w:tcPr>
          <w:p w:rsidR="009172A9" w:rsidRPr="0009323B" w:rsidRDefault="009172A9" w:rsidP="00572920">
            <w:pPr>
              <w:pBdr>
                <w:top w:val="nil"/>
                <w:left w:val="nil"/>
                <w:bottom w:val="nil"/>
                <w:right w:val="nil"/>
                <w:between w:val="nil"/>
              </w:pBdr>
              <w:jc w:val="both"/>
              <w:rPr>
                <w:rFonts w:ascii="Times New Roman" w:hAnsi="Times New Roman" w:cs="Times New Roman"/>
                <w:b/>
                <w:bCs/>
                <w:sz w:val="28"/>
                <w:szCs w:val="28"/>
              </w:rPr>
            </w:pPr>
            <w:r w:rsidRPr="0009323B">
              <w:rPr>
                <w:rFonts w:ascii="Times New Roman" w:hAnsi="Times New Roman" w:cs="Times New Roman"/>
                <w:b/>
                <w:bCs/>
                <w:sz w:val="28"/>
                <w:szCs w:val="28"/>
              </w:rPr>
              <w:lastRenderedPageBreak/>
              <w:t>Стаття 140. Різниці, які виникають при здійсненні фінансових операцій</w:t>
            </w:r>
          </w:p>
        </w:tc>
        <w:tc>
          <w:tcPr>
            <w:tcW w:w="7290" w:type="dxa"/>
            <w:shd w:val="clear" w:color="auto" w:fill="auto"/>
          </w:tcPr>
          <w:p w:rsidR="009172A9" w:rsidRPr="0009323B" w:rsidRDefault="009172A9" w:rsidP="00572920">
            <w:pPr>
              <w:pBdr>
                <w:top w:val="nil"/>
                <w:left w:val="nil"/>
                <w:bottom w:val="nil"/>
                <w:right w:val="nil"/>
                <w:between w:val="nil"/>
              </w:pBdr>
              <w:jc w:val="both"/>
              <w:rPr>
                <w:rFonts w:ascii="Times New Roman" w:eastAsia="Calibri" w:hAnsi="Times New Roman" w:cs="Times New Roman"/>
                <w:b/>
                <w:bCs/>
                <w:sz w:val="28"/>
                <w:szCs w:val="28"/>
              </w:rPr>
            </w:pPr>
            <w:r w:rsidRPr="0009323B">
              <w:rPr>
                <w:rFonts w:ascii="Times New Roman" w:eastAsia="Calibri" w:hAnsi="Times New Roman" w:cs="Times New Roman"/>
                <w:b/>
                <w:bCs/>
                <w:sz w:val="28"/>
                <w:szCs w:val="28"/>
              </w:rPr>
              <w:t>Стаття 140. Різниці, які виникають при здійсненні фінансових операцій</w:t>
            </w:r>
          </w:p>
          <w:p w:rsidR="009172A9" w:rsidRPr="0009323B" w:rsidRDefault="009172A9" w:rsidP="00572920">
            <w:pPr>
              <w:pBdr>
                <w:top w:val="nil"/>
                <w:left w:val="nil"/>
                <w:bottom w:val="nil"/>
                <w:right w:val="nil"/>
                <w:between w:val="nil"/>
              </w:pBdr>
              <w:jc w:val="both"/>
              <w:rPr>
                <w:rFonts w:ascii="Times New Roman" w:hAnsi="Times New Roman" w:cs="Times New Roman"/>
                <w:bCs/>
                <w:sz w:val="28"/>
                <w:szCs w:val="28"/>
              </w:rPr>
            </w:pPr>
          </w:p>
        </w:tc>
      </w:tr>
      <w:tr w:rsidR="00AC3D1A" w:rsidRPr="0009323B" w:rsidTr="00704E76">
        <w:tc>
          <w:tcPr>
            <w:tcW w:w="7270" w:type="dxa"/>
            <w:shd w:val="clear" w:color="auto" w:fill="auto"/>
          </w:tcPr>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140.5. Фінансовий результат податкового (звітного) періоду збільшується:</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w:t>
            </w:r>
          </w:p>
          <w:p w:rsidR="00704E76" w:rsidRPr="0009323B" w:rsidRDefault="00704E76" w:rsidP="00B37FFA">
            <w:pPr>
              <w:pBdr>
                <w:top w:val="nil"/>
                <w:left w:val="nil"/>
                <w:bottom w:val="nil"/>
                <w:right w:val="nil"/>
                <w:between w:val="nil"/>
              </w:pBdr>
              <w:jc w:val="both"/>
              <w:rPr>
                <w:rFonts w:ascii="Times New Roman" w:eastAsia="Calibri" w:hAnsi="Times New Roman" w:cs="Times New Roman"/>
                <w:bCs/>
                <w:sz w:val="28"/>
                <w:szCs w:val="28"/>
              </w:rPr>
            </w:pP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140.5.7. на суму витрат по нарахуванню роялті у повному обсязі, якщо роялті нараховані на користь:</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 xml:space="preserve">2) нерезидента, який не є </w:t>
            </w:r>
            <w:proofErr w:type="spellStart"/>
            <w:r w:rsidRPr="0009323B">
              <w:rPr>
                <w:rFonts w:ascii="Times New Roman" w:eastAsia="Calibri" w:hAnsi="Times New Roman" w:cs="Times New Roman"/>
                <w:bCs/>
                <w:sz w:val="28"/>
                <w:szCs w:val="28"/>
              </w:rPr>
              <w:t>бенефіціарним</w:t>
            </w:r>
            <w:proofErr w:type="spellEnd"/>
            <w:r w:rsidRPr="0009323B">
              <w:rPr>
                <w:rFonts w:ascii="Times New Roman" w:eastAsia="Calibri" w:hAnsi="Times New Roman" w:cs="Times New Roman"/>
                <w:bCs/>
                <w:sz w:val="28"/>
                <w:szCs w:val="28"/>
              </w:rPr>
              <w:t xml:space="preserve"> (фактичним) отримувачем (власником) роялті, за виключенням випадків, коли </w:t>
            </w:r>
            <w:proofErr w:type="spellStart"/>
            <w:r w:rsidRPr="0009323B">
              <w:rPr>
                <w:rFonts w:ascii="Times New Roman" w:eastAsia="Calibri" w:hAnsi="Times New Roman" w:cs="Times New Roman"/>
                <w:bCs/>
                <w:sz w:val="28"/>
                <w:szCs w:val="28"/>
              </w:rPr>
              <w:t>бенефіціар</w:t>
            </w:r>
            <w:proofErr w:type="spellEnd"/>
            <w:r w:rsidRPr="0009323B">
              <w:rPr>
                <w:rFonts w:ascii="Times New Roman" w:eastAsia="Calibri" w:hAnsi="Times New Roman" w:cs="Times New Roman"/>
                <w:bCs/>
                <w:sz w:val="28"/>
                <w:szCs w:val="28"/>
              </w:rPr>
              <w:t xml:space="preserve"> (фактичний власник) надав право отримувати роялті іншим особам.</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 xml:space="preserve">Для цілей застосування цього підпункту у випадках, коли резиденти - суб’єкти кінематографії України сплачують </w:t>
            </w:r>
            <w:r w:rsidRPr="0009323B">
              <w:rPr>
                <w:rFonts w:ascii="Times New Roman" w:eastAsia="Calibri" w:hAnsi="Times New Roman" w:cs="Times New Roman"/>
                <w:bCs/>
                <w:sz w:val="28"/>
                <w:szCs w:val="28"/>
              </w:rPr>
              <w:lastRenderedPageBreak/>
              <w:t xml:space="preserve">роялті нерезидентам за </w:t>
            </w:r>
            <w:proofErr w:type="spellStart"/>
            <w:r w:rsidRPr="0009323B">
              <w:rPr>
                <w:rFonts w:ascii="Times New Roman" w:eastAsia="Calibri" w:hAnsi="Times New Roman" w:cs="Times New Roman"/>
                <w:bCs/>
                <w:sz w:val="28"/>
                <w:szCs w:val="28"/>
              </w:rPr>
              <w:t>субліцензійними</w:t>
            </w:r>
            <w:proofErr w:type="spellEnd"/>
            <w:r w:rsidRPr="0009323B">
              <w:rPr>
                <w:rFonts w:ascii="Times New Roman" w:eastAsia="Calibri" w:hAnsi="Times New Roman" w:cs="Times New Roman"/>
                <w:bCs/>
                <w:sz w:val="28"/>
                <w:szCs w:val="28"/>
              </w:rPr>
              <w:t xml:space="preserve"> договорами за використання або за надання права на використання аудіовізуальних творів (у тому числі фільмів), а також об’єктів авторського права та/або суміжних прав, що використовуються при виробництві (створенні) аудіовізуальних творів (у тому числі фільмів), такі нерезиденти вважаються </w:t>
            </w:r>
            <w:proofErr w:type="spellStart"/>
            <w:r w:rsidRPr="0009323B">
              <w:rPr>
                <w:rFonts w:ascii="Times New Roman" w:eastAsia="Calibri" w:hAnsi="Times New Roman" w:cs="Times New Roman"/>
                <w:bCs/>
                <w:sz w:val="28"/>
                <w:szCs w:val="28"/>
              </w:rPr>
              <w:t>бенефіціарними</w:t>
            </w:r>
            <w:proofErr w:type="spellEnd"/>
            <w:r w:rsidRPr="0009323B">
              <w:rPr>
                <w:rFonts w:ascii="Times New Roman" w:eastAsia="Calibri" w:hAnsi="Times New Roman" w:cs="Times New Roman"/>
                <w:bCs/>
                <w:sz w:val="28"/>
                <w:szCs w:val="28"/>
              </w:rPr>
              <w:t xml:space="preserve"> (фактичними) отримувачами (власниками) щодо таких роялті;</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3) нерезидента щодо об’єктів, права інтелектуальної власності щодо яких вперше виникли у резидента України.</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У разі виникнення розбіжностей між контролюючим органом та платником податку стосовно визначення особи, у якої вперше виникли (були набуті) права інтелектуальної власності на об’єкт інтелектуальної власності, такі контролюючі органи зобов’язані звернутися до центрального органу виконавчої влади, що реалізує державну політику у сфері інтелектуальної власності, для отримання відповідного висновку.</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 xml:space="preserve">Вимоги цього підпункту не застосовуються до випадків нарахування суб’єктом кінематографії роялті за використання об’єктів права інтелектуальної власності (фільмів, літературних творів, музичних творів, творів образотворчого мистецтва, фотографічних творів, фонограм, відеограм), крім випадків, коли резидент України - суб’єкт кінематографії, у якого виникли майнові авторські та суміжні права внаслідок створення (виготовлення) ним вказаних творів, якщо він у подальшому передав чи здійснив відчуження майнових </w:t>
            </w:r>
            <w:r w:rsidRPr="0009323B">
              <w:rPr>
                <w:rFonts w:ascii="Times New Roman" w:eastAsia="Calibri" w:hAnsi="Times New Roman" w:cs="Times New Roman"/>
                <w:bCs/>
                <w:sz w:val="28"/>
                <w:szCs w:val="28"/>
              </w:rPr>
              <w:lastRenderedPageBreak/>
              <w:t>авторських або суміжних прав нерезиденту та здійснює нарахування роялті за використання цього об’єкта;</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4) нерезидента, який не підлягає оподаткуванню у відношенні роялті в державі, резидентом якої він є;</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5) особи, яка сплачує податок у складі інших податків, крім фізичних осіб, які оподатковуються в порядку, встановленому розділом IV цього Кодексу;</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6) юридичної особи, яка відповідно до цього Кодексу звільнена від сплати цього податку чи сплачує цей податок за ставкою, іншою, ніж встановлена в пункті 136.1 статті 136 цього Кодексу.</w:t>
            </w:r>
          </w:p>
          <w:p w:rsidR="00AC3D1A" w:rsidRPr="0009323B" w:rsidRDefault="00F35904" w:rsidP="00B37FFA">
            <w:pPr>
              <w:pStyle w:val="rvps2"/>
              <w:shd w:val="clear" w:color="auto" w:fill="FFFFFF"/>
              <w:spacing w:before="0" w:beforeAutospacing="0" w:after="0" w:afterAutospacing="0"/>
              <w:jc w:val="both"/>
              <w:rPr>
                <w:b/>
                <w:bCs/>
                <w:sz w:val="28"/>
                <w:szCs w:val="28"/>
              </w:rPr>
            </w:pPr>
            <w:r w:rsidRPr="0009323B">
              <w:rPr>
                <w:rFonts w:eastAsia="Calibri"/>
                <w:b/>
                <w:bCs/>
                <w:sz w:val="28"/>
                <w:szCs w:val="28"/>
                <w:lang w:eastAsia="en-US"/>
              </w:rPr>
              <w:t>Відсутній</w:t>
            </w:r>
          </w:p>
        </w:tc>
        <w:tc>
          <w:tcPr>
            <w:tcW w:w="7290" w:type="dxa"/>
            <w:shd w:val="clear" w:color="auto" w:fill="auto"/>
          </w:tcPr>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lastRenderedPageBreak/>
              <w:t>140.5. Фінансовий результат податкового (звітного) періоду збільшується:</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
                <w:bCs/>
                <w:sz w:val="28"/>
                <w:szCs w:val="28"/>
              </w:rPr>
            </w:pPr>
          </w:p>
          <w:p w:rsidR="00704E76" w:rsidRPr="0009323B" w:rsidRDefault="00704E76"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140.5.7. на суму витрат по нарахуванню роялті у повному обсязі, якщо роялті нараховані на користь:</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 xml:space="preserve">2) нерезидента, який не є </w:t>
            </w:r>
            <w:proofErr w:type="spellStart"/>
            <w:r w:rsidRPr="0009323B">
              <w:rPr>
                <w:rFonts w:ascii="Times New Roman" w:eastAsia="Calibri" w:hAnsi="Times New Roman" w:cs="Times New Roman"/>
                <w:bCs/>
                <w:sz w:val="28"/>
                <w:szCs w:val="28"/>
              </w:rPr>
              <w:t>бенефіціарним</w:t>
            </w:r>
            <w:proofErr w:type="spellEnd"/>
            <w:r w:rsidRPr="0009323B">
              <w:rPr>
                <w:rFonts w:ascii="Times New Roman" w:eastAsia="Calibri" w:hAnsi="Times New Roman" w:cs="Times New Roman"/>
                <w:bCs/>
                <w:sz w:val="28"/>
                <w:szCs w:val="28"/>
              </w:rPr>
              <w:t xml:space="preserve"> (фактичним) отримувачем (власником) роялті, за виключенням випадків, коли </w:t>
            </w:r>
            <w:proofErr w:type="spellStart"/>
            <w:r w:rsidRPr="0009323B">
              <w:rPr>
                <w:rFonts w:ascii="Times New Roman" w:eastAsia="Calibri" w:hAnsi="Times New Roman" w:cs="Times New Roman"/>
                <w:bCs/>
                <w:sz w:val="28"/>
                <w:szCs w:val="28"/>
              </w:rPr>
              <w:t>бенефіціар</w:t>
            </w:r>
            <w:proofErr w:type="spellEnd"/>
            <w:r w:rsidRPr="0009323B">
              <w:rPr>
                <w:rFonts w:ascii="Times New Roman" w:eastAsia="Calibri" w:hAnsi="Times New Roman" w:cs="Times New Roman"/>
                <w:bCs/>
                <w:sz w:val="28"/>
                <w:szCs w:val="28"/>
              </w:rPr>
              <w:t xml:space="preserve"> (фактичний власник) надав право отримувати роялті іншим особам.</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 xml:space="preserve">Для цілей застосування цього підпункту у випадках, коли резиденти - суб’єкти кінематографії України сплачують </w:t>
            </w:r>
            <w:r w:rsidRPr="0009323B">
              <w:rPr>
                <w:rFonts w:ascii="Times New Roman" w:eastAsia="Calibri" w:hAnsi="Times New Roman" w:cs="Times New Roman"/>
                <w:bCs/>
                <w:sz w:val="28"/>
                <w:szCs w:val="28"/>
              </w:rPr>
              <w:lastRenderedPageBreak/>
              <w:t xml:space="preserve">роялті нерезидентам за </w:t>
            </w:r>
            <w:proofErr w:type="spellStart"/>
            <w:r w:rsidRPr="0009323B">
              <w:rPr>
                <w:rFonts w:ascii="Times New Roman" w:eastAsia="Calibri" w:hAnsi="Times New Roman" w:cs="Times New Roman"/>
                <w:bCs/>
                <w:sz w:val="28"/>
                <w:szCs w:val="28"/>
              </w:rPr>
              <w:t>субліцензійними</w:t>
            </w:r>
            <w:proofErr w:type="spellEnd"/>
            <w:r w:rsidRPr="0009323B">
              <w:rPr>
                <w:rFonts w:ascii="Times New Roman" w:eastAsia="Calibri" w:hAnsi="Times New Roman" w:cs="Times New Roman"/>
                <w:bCs/>
                <w:sz w:val="28"/>
                <w:szCs w:val="28"/>
              </w:rPr>
              <w:t xml:space="preserve"> договорами за використання або за надання права на використання аудіовізуальних творів (у тому числі фільмів), а також об’єктів авторського права та/або суміжних прав, що використовуються при виробництві (створенні) аудіовізуальних творів (у тому числі фільмів), такі нерезиденти вважаються </w:t>
            </w:r>
            <w:proofErr w:type="spellStart"/>
            <w:r w:rsidRPr="0009323B">
              <w:rPr>
                <w:rFonts w:ascii="Times New Roman" w:eastAsia="Calibri" w:hAnsi="Times New Roman" w:cs="Times New Roman"/>
                <w:bCs/>
                <w:sz w:val="28"/>
                <w:szCs w:val="28"/>
              </w:rPr>
              <w:t>бенефіціарними</w:t>
            </w:r>
            <w:proofErr w:type="spellEnd"/>
            <w:r w:rsidRPr="0009323B">
              <w:rPr>
                <w:rFonts w:ascii="Times New Roman" w:eastAsia="Calibri" w:hAnsi="Times New Roman" w:cs="Times New Roman"/>
                <w:bCs/>
                <w:sz w:val="28"/>
                <w:szCs w:val="28"/>
              </w:rPr>
              <w:t xml:space="preserve"> (фактичними) отримувачами (власниками) щодо таких роялті;</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3) нерезидента щодо об’єктів, права інтелектуальної власності щодо яких вперше виникли у резидента України.</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У разі виникнення розбіжностей між контролюючим органом та платником податку стосовно визначення особи, у якої вперше виникли (були набуті) права інтелектуальної власності на об’єкт інтелектуальної власності, такі контролюючі органи зобов’язані звернутися до центрального органу виконавчої влади, що реалізує державну політику у сфері інтелектуальної власності, для отримання відповідного висновку.</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 xml:space="preserve">Вимоги цього підпункту не застосовуються до випадків нарахування суб’єктом кінематографії роялті за використання об’єктів права інтелектуальної власності (фільмів, літературних творів, музичних творів, творів образотворчого мистецтва, фотографічних творів, фонограм, відеограм), крім випадків, коли резидент України - суб’єкт кінематографії, у якого виникли майнові авторські та суміжні права внаслідок створення (виготовлення) ним вказаних творів, якщо він у подальшому передав чи здійснив відчуження майнових </w:t>
            </w:r>
            <w:r w:rsidRPr="0009323B">
              <w:rPr>
                <w:rFonts w:ascii="Times New Roman" w:eastAsia="Calibri" w:hAnsi="Times New Roman" w:cs="Times New Roman"/>
                <w:bCs/>
                <w:sz w:val="28"/>
                <w:szCs w:val="28"/>
              </w:rPr>
              <w:lastRenderedPageBreak/>
              <w:t>авторських або суміжних прав нерезиденту та здійснює нарахування роялті за використання цього об’єкта;</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4) нерезидента, який не підлягає оподаткуванню у відношенні роялті в державі, резидентом якої він є;</w:t>
            </w:r>
          </w:p>
          <w:p w:rsidR="00F35904" w:rsidRPr="0009323B" w:rsidRDefault="00F35904"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eastAsia="Calibri" w:hAnsi="Times New Roman" w:cs="Times New Roman"/>
                <w:bCs/>
                <w:sz w:val="28"/>
                <w:szCs w:val="28"/>
              </w:rPr>
              <w:t>5) особи, яка сплачує податок у складі інших податків, крім фізичних осіб, які оподатковуються в порядку, встановленому розділом IV цього Кодексу;</w:t>
            </w:r>
          </w:p>
          <w:p w:rsidR="007C0D9B" w:rsidRPr="0009323B" w:rsidRDefault="00F35904" w:rsidP="00E27EC5">
            <w:pPr>
              <w:pBdr>
                <w:top w:val="nil"/>
                <w:left w:val="nil"/>
                <w:bottom w:val="nil"/>
                <w:right w:val="nil"/>
                <w:between w:val="nil"/>
              </w:pBdr>
              <w:jc w:val="both"/>
              <w:rPr>
                <w:rFonts w:ascii="Times New Roman" w:eastAsia="Calibri" w:hAnsi="Times New Roman" w:cs="Times New Roman"/>
                <w:b/>
                <w:bCs/>
                <w:sz w:val="28"/>
                <w:szCs w:val="28"/>
              </w:rPr>
            </w:pPr>
            <w:r w:rsidRPr="0009323B">
              <w:rPr>
                <w:rFonts w:ascii="Times New Roman" w:eastAsia="Calibri" w:hAnsi="Times New Roman" w:cs="Times New Roman"/>
                <w:bCs/>
                <w:sz w:val="28"/>
                <w:szCs w:val="28"/>
              </w:rPr>
              <w:t>6) юридичної особи, яка відповідно до цього Кодексу звільнена від сплати цього податку чи сплачує цей податок за ставкою, іншою, ніж встановлена в пункті 136.1 статті 136 цього Кодексу</w:t>
            </w:r>
            <w:r w:rsidR="00704E76" w:rsidRPr="0009323B">
              <w:rPr>
                <w:rFonts w:ascii="Times New Roman" w:eastAsia="Calibri" w:hAnsi="Times New Roman" w:cs="Times New Roman"/>
                <w:bCs/>
                <w:sz w:val="28"/>
                <w:szCs w:val="28"/>
              </w:rPr>
              <w:t>.</w:t>
            </w:r>
            <w:r w:rsidR="007976E8" w:rsidRPr="0009323B">
              <w:rPr>
                <w:rFonts w:ascii="Times New Roman" w:eastAsia="Calibri" w:hAnsi="Times New Roman" w:cs="Times New Roman"/>
                <w:bCs/>
                <w:sz w:val="28"/>
                <w:szCs w:val="28"/>
              </w:rPr>
              <w:t xml:space="preserve"> </w:t>
            </w:r>
            <w:r w:rsidRPr="0009323B">
              <w:rPr>
                <w:rFonts w:ascii="Times New Roman" w:eastAsia="Calibri" w:hAnsi="Times New Roman" w:cs="Times New Roman"/>
                <w:b/>
                <w:bCs/>
                <w:sz w:val="28"/>
                <w:szCs w:val="28"/>
              </w:rPr>
              <w:t>Вимоги цього підпункту не застосовуються до випадків нарахування роялті</w:t>
            </w:r>
            <w:r w:rsidR="00E27EC5" w:rsidRPr="0009323B">
              <w:rPr>
                <w:rFonts w:ascii="Times New Roman" w:eastAsia="Calibri" w:hAnsi="Times New Roman" w:cs="Times New Roman"/>
                <w:b/>
                <w:bCs/>
                <w:sz w:val="28"/>
                <w:szCs w:val="28"/>
              </w:rPr>
              <w:t xml:space="preserve"> </w:t>
            </w:r>
            <w:r w:rsidRPr="0009323B">
              <w:rPr>
                <w:rFonts w:ascii="Times New Roman" w:eastAsia="Calibri" w:hAnsi="Times New Roman" w:cs="Times New Roman"/>
                <w:b/>
                <w:bCs/>
                <w:sz w:val="28"/>
                <w:szCs w:val="28"/>
              </w:rPr>
              <w:t>на користь організацій колективного управління, що здійснюють свою діяльність відповідно до Закону України «Про ефективне управління майновими правами правовласників у сфері авторського права і (або) суміжних прав».</w:t>
            </w:r>
          </w:p>
        </w:tc>
      </w:tr>
      <w:tr w:rsidR="00563733" w:rsidRPr="0009323B" w:rsidTr="00704E76">
        <w:tc>
          <w:tcPr>
            <w:tcW w:w="7270" w:type="dxa"/>
            <w:shd w:val="clear" w:color="auto" w:fill="auto"/>
          </w:tcPr>
          <w:p w:rsidR="00563733" w:rsidRPr="0009323B" w:rsidRDefault="00563733" w:rsidP="00563733">
            <w:pPr>
              <w:pBdr>
                <w:top w:val="nil"/>
                <w:left w:val="nil"/>
                <w:bottom w:val="nil"/>
                <w:right w:val="nil"/>
                <w:between w:val="nil"/>
              </w:pBdr>
              <w:jc w:val="both"/>
              <w:rPr>
                <w:rFonts w:ascii="Times New Roman" w:eastAsia="Calibri" w:hAnsi="Times New Roman" w:cs="Times New Roman"/>
                <w:bCs/>
                <w:sz w:val="28"/>
                <w:szCs w:val="28"/>
              </w:rPr>
            </w:pPr>
            <w:r w:rsidRPr="0009323B">
              <w:rPr>
                <w:rStyle w:val="rvts9"/>
                <w:rFonts w:ascii="Times New Roman" w:hAnsi="Times New Roman" w:cs="Times New Roman"/>
                <w:b/>
                <w:bCs/>
                <w:sz w:val="28"/>
                <w:szCs w:val="28"/>
                <w:shd w:val="clear" w:color="auto" w:fill="FFFFFF"/>
              </w:rPr>
              <w:lastRenderedPageBreak/>
              <w:t>Стаття 177.</w:t>
            </w:r>
            <w:r w:rsidRPr="0009323B">
              <w:rPr>
                <w:rFonts w:ascii="Times New Roman" w:hAnsi="Times New Roman" w:cs="Times New Roman"/>
                <w:sz w:val="28"/>
                <w:szCs w:val="28"/>
                <w:shd w:val="clear" w:color="auto" w:fill="FFFFFF"/>
              </w:rPr>
              <w:t> Оподаткування доходів, отриманих фізичною особою - підприємцем від провадження господарської діяльності, крім осіб, що обрали спрощену систему оподаткування</w:t>
            </w:r>
          </w:p>
        </w:tc>
        <w:tc>
          <w:tcPr>
            <w:tcW w:w="7290" w:type="dxa"/>
            <w:shd w:val="clear" w:color="auto" w:fill="auto"/>
          </w:tcPr>
          <w:p w:rsidR="00563733" w:rsidRPr="0009323B" w:rsidRDefault="00563733" w:rsidP="00563733">
            <w:pPr>
              <w:pBdr>
                <w:top w:val="nil"/>
                <w:left w:val="nil"/>
                <w:bottom w:val="nil"/>
                <w:right w:val="nil"/>
                <w:between w:val="nil"/>
              </w:pBdr>
              <w:jc w:val="both"/>
              <w:rPr>
                <w:rFonts w:ascii="Times New Roman" w:eastAsia="Calibri" w:hAnsi="Times New Roman" w:cs="Times New Roman"/>
                <w:bCs/>
                <w:sz w:val="28"/>
                <w:szCs w:val="28"/>
              </w:rPr>
            </w:pPr>
            <w:r w:rsidRPr="0009323B">
              <w:rPr>
                <w:rStyle w:val="rvts9"/>
                <w:rFonts w:ascii="Times New Roman" w:hAnsi="Times New Roman" w:cs="Times New Roman"/>
                <w:b/>
                <w:bCs/>
                <w:sz w:val="28"/>
                <w:szCs w:val="28"/>
                <w:shd w:val="clear" w:color="auto" w:fill="FFFFFF"/>
              </w:rPr>
              <w:t>Стаття 177.</w:t>
            </w:r>
            <w:r w:rsidRPr="0009323B">
              <w:rPr>
                <w:rFonts w:ascii="Times New Roman" w:hAnsi="Times New Roman" w:cs="Times New Roman"/>
                <w:sz w:val="28"/>
                <w:szCs w:val="28"/>
                <w:shd w:val="clear" w:color="auto" w:fill="FFFFFF"/>
              </w:rPr>
              <w:t> Оподаткування доходів, отриманих фізичною особою - підприємцем від провадження господарської діяльності, крім осіб, що обрали спрощену систему оподаткування</w:t>
            </w:r>
          </w:p>
        </w:tc>
      </w:tr>
      <w:tr w:rsidR="00563733" w:rsidRPr="0009323B" w:rsidTr="00704E76">
        <w:tc>
          <w:tcPr>
            <w:tcW w:w="7270" w:type="dxa"/>
            <w:shd w:val="clear" w:color="auto" w:fill="auto"/>
          </w:tcPr>
          <w:p w:rsidR="00563733" w:rsidRPr="0009323B" w:rsidRDefault="00563733" w:rsidP="00563733">
            <w:pPr>
              <w:pBdr>
                <w:top w:val="nil"/>
                <w:left w:val="nil"/>
                <w:bottom w:val="nil"/>
                <w:right w:val="nil"/>
                <w:between w:val="nil"/>
              </w:pBdr>
              <w:jc w:val="both"/>
              <w:rPr>
                <w:rStyle w:val="rvts9"/>
                <w:rFonts w:ascii="Times New Roman" w:hAnsi="Times New Roman" w:cs="Times New Roman"/>
                <w:b/>
                <w:bCs/>
                <w:sz w:val="28"/>
                <w:szCs w:val="28"/>
                <w:shd w:val="clear" w:color="auto" w:fill="FFFFFF"/>
              </w:rPr>
            </w:pPr>
            <w:r w:rsidRPr="0009323B">
              <w:rPr>
                <w:rFonts w:ascii="Times New Roman" w:hAnsi="Times New Roman" w:cs="Times New Roman"/>
                <w:sz w:val="28"/>
                <w:szCs w:val="28"/>
                <w:shd w:val="clear" w:color="auto" w:fill="FFFFFF"/>
              </w:rPr>
              <w:t>177.4. До переліку витрат, безпосередньо пов’язаних з отриманням доходів, належать:</w:t>
            </w:r>
          </w:p>
        </w:tc>
        <w:tc>
          <w:tcPr>
            <w:tcW w:w="7290" w:type="dxa"/>
            <w:shd w:val="clear" w:color="auto" w:fill="auto"/>
          </w:tcPr>
          <w:p w:rsidR="00563733" w:rsidRPr="0009323B" w:rsidRDefault="00563733" w:rsidP="00563733">
            <w:pPr>
              <w:pBdr>
                <w:top w:val="nil"/>
                <w:left w:val="nil"/>
                <w:bottom w:val="nil"/>
                <w:right w:val="nil"/>
                <w:between w:val="nil"/>
              </w:pBdr>
              <w:jc w:val="both"/>
              <w:rPr>
                <w:rStyle w:val="rvts9"/>
                <w:rFonts w:ascii="Times New Roman" w:hAnsi="Times New Roman" w:cs="Times New Roman"/>
                <w:b/>
                <w:bCs/>
                <w:sz w:val="28"/>
                <w:szCs w:val="28"/>
                <w:shd w:val="clear" w:color="auto" w:fill="FFFFFF"/>
              </w:rPr>
            </w:pPr>
            <w:r w:rsidRPr="0009323B">
              <w:rPr>
                <w:rFonts w:ascii="Times New Roman" w:hAnsi="Times New Roman" w:cs="Times New Roman"/>
                <w:sz w:val="28"/>
                <w:szCs w:val="28"/>
                <w:shd w:val="clear" w:color="auto" w:fill="FFFFFF"/>
              </w:rPr>
              <w:t>177.4. До переліку витрат, безпосередньо пов’язаних з отриманням доходів, належать:</w:t>
            </w:r>
          </w:p>
        </w:tc>
      </w:tr>
      <w:tr w:rsidR="00563733" w:rsidRPr="0009323B" w:rsidTr="00704E76">
        <w:tc>
          <w:tcPr>
            <w:tcW w:w="7270" w:type="dxa"/>
            <w:shd w:val="clear" w:color="auto" w:fill="auto"/>
          </w:tcPr>
          <w:p w:rsidR="00563733" w:rsidRPr="0009323B" w:rsidRDefault="00563733" w:rsidP="00B37FFA">
            <w:pPr>
              <w:pBdr>
                <w:top w:val="nil"/>
                <w:left w:val="nil"/>
                <w:bottom w:val="nil"/>
                <w:right w:val="nil"/>
                <w:between w:val="nil"/>
              </w:pBdr>
              <w:jc w:val="both"/>
              <w:rPr>
                <w:rFonts w:ascii="Times New Roman" w:eastAsia="Calibri" w:hAnsi="Times New Roman" w:cs="Times New Roman"/>
                <w:bCs/>
                <w:sz w:val="28"/>
                <w:szCs w:val="28"/>
              </w:rPr>
            </w:pPr>
            <w:r w:rsidRPr="0009323B">
              <w:rPr>
                <w:rFonts w:ascii="Times New Roman" w:hAnsi="Times New Roman" w:cs="Times New Roman"/>
                <w:sz w:val="28"/>
                <w:szCs w:val="28"/>
                <w:shd w:val="clear" w:color="auto" w:fill="FFFFFF"/>
              </w:rPr>
              <w:t xml:space="preserve">177.4.3. суми податків, зборів, пов’язаних з проведенням господарської діяльності такої фізичної особи - підприємця (крім податку на додану вартість для фізичної особи - підприємця, зареєстрованого як платник податку на додану вартість, та акцизного податку, податку на доходи </w:t>
            </w:r>
            <w:r w:rsidRPr="0009323B">
              <w:rPr>
                <w:rFonts w:ascii="Times New Roman" w:hAnsi="Times New Roman" w:cs="Times New Roman"/>
                <w:sz w:val="28"/>
                <w:szCs w:val="28"/>
                <w:shd w:val="clear" w:color="auto" w:fill="FFFFFF"/>
              </w:rPr>
              <w:lastRenderedPageBreak/>
              <w:t>фізичних осіб з доходу від господарської діяльності, податку на нерухоме майно, відмінне від земельної ділянки, з об’єктів житлової нерухомості); суми єдиного внеску на загальнообов’язкове державне соціальне страхування у розмірах і порядку, встановлених законом; платежі, сплачені за одержання ліцензій на провадження певних видів господарської діяльності фізичною особою - підприємцем, одержання дозволу, іншого документа дозвільного характеру, пов’язаних з господарською діяльністю фізичної особи - підприємця;</w:t>
            </w:r>
          </w:p>
        </w:tc>
        <w:tc>
          <w:tcPr>
            <w:tcW w:w="7290" w:type="dxa"/>
            <w:shd w:val="clear" w:color="auto" w:fill="auto"/>
          </w:tcPr>
          <w:p w:rsidR="00563733" w:rsidRPr="0009323B" w:rsidRDefault="00563733" w:rsidP="00C50C0A">
            <w:pPr>
              <w:pBdr>
                <w:top w:val="nil"/>
                <w:left w:val="nil"/>
                <w:bottom w:val="nil"/>
                <w:right w:val="nil"/>
                <w:between w:val="nil"/>
              </w:pBdr>
              <w:jc w:val="both"/>
              <w:rPr>
                <w:rFonts w:ascii="Times New Roman" w:eastAsia="Calibri" w:hAnsi="Times New Roman" w:cs="Times New Roman"/>
                <w:b/>
                <w:bCs/>
                <w:sz w:val="28"/>
                <w:szCs w:val="28"/>
              </w:rPr>
            </w:pPr>
            <w:r w:rsidRPr="0009323B">
              <w:rPr>
                <w:rFonts w:ascii="Times New Roman" w:hAnsi="Times New Roman" w:cs="Times New Roman"/>
                <w:sz w:val="28"/>
                <w:szCs w:val="28"/>
                <w:shd w:val="clear" w:color="auto" w:fill="FFFFFF"/>
              </w:rPr>
              <w:lastRenderedPageBreak/>
              <w:t xml:space="preserve">177.4.3. суми податків, зборів, пов’язаних з проведенням господарської діяльності такої фізичної особи - підприємця (крім податку на додану вартість для фізичної особи - підприємця, зареєстрованого як платник податку на додану вартість, та акцизного податку, податку на доходи </w:t>
            </w:r>
            <w:r w:rsidRPr="0009323B">
              <w:rPr>
                <w:rFonts w:ascii="Times New Roman" w:hAnsi="Times New Roman" w:cs="Times New Roman"/>
                <w:sz w:val="28"/>
                <w:szCs w:val="28"/>
                <w:shd w:val="clear" w:color="auto" w:fill="FFFFFF"/>
              </w:rPr>
              <w:lastRenderedPageBreak/>
              <w:t xml:space="preserve">фізичних осіб з доходу від господарської діяльності, податку на нерухоме майно, відмінне від земельної ділянки, з об’єктів житлової нерухомості); суми єдиного внеску на загальнообов’язкове державне соціальне страхування у розмірах і порядку, встановлених законом; платежі, сплачені за одержання ліцензій на провадження певних видів господарської діяльності фізичною особою - підприємцем, </w:t>
            </w:r>
            <w:r w:rsidR="00C50C0A" w:rsidRPr="0009323B">
              <w:rPr>
                <w:rFonts w:ascii="Times New Roman" w:hAnsi="Times New Roman" w:cs="Times New Roman"/>
                <w:b/>
                <w:sz w:val="28"/>
                <w:szCs w:val="28"/>
                <w:shd w:val="clear" w:color="auto" w:fill="FFFFFF"/>
              </w:rPr>
              <w:t>роялті</w:t>
            </w:r>
            <w:r w:rsidR="00F168AF" w:rsidRPr="0009323B">
              <w:rPr>
                <w:rFonts w:ascii="Times New Roman" w:hAnsi="Times New Roman" w:cs="Times New Roman"/>
                <w:b/>
                <w:sz w:val="28"/>
                <w:szCs w:val="28"/>
                <w:shd w:val="clear" w:color="auto" w:fill="FFFFFF"/>
              </w:rPr>
              <w:t xml:space="preserve"> сплачені на користь організацій колективного управління</w:t>
            </w:r>
            <w:r w:rsidR="00F168AF" w:rsidRPr="0009323B">
              <w:rPr>
                <w:rFonts w:ascii="Times New Roman" w:eastAsia="Calibri" w:hAnsi="Times New Roman" w:cs="Times New Roman"/>
                <w:b/>
                <w:bCs/>
                <w:sz w:val="28"/>
                <w:szCs w:val="28"/>
              </w:rPr>
              <w:t xml:space="preserve"> відповідно до Закону України «Про ефективне управління майновими правами правовласників у сфері авторського права і (або) суміжних прав», </w:t>
            </w:r>
            <w:r w:rsidRPr="0009323B">
              <w:rPr>
                <w:rFonts w:ascii="Times New Roman" w:hAnsi="Times New Roman" w:cs="Times New Roman"/>
                <w:sz w:val="28"/>
                <w:szCs w:val="28"/>
                <w:shd w:val="clear" w:color="auto" w:fill="FFFFFF"/>
              </w:rPr>
              <w:t>одержання дозволу, іншого документа дозвільного характеру, пов’язаних з господарською діяльністю фізичної особи - підприємця;</w:t>
            </w:r>
          </w:p>
        </w:tc>
      </w:tr>
    </w:tbl>
    <w:p w:rsidR="009E55EC" w:rsidRPr="0009323B" w:rsidRDefault="009E55EC" w:rsidP="009E55EC">
      <w:pPr>
        <w:spacing w:after="200" w:line="276" w:lineRule="auto"/>
        <w:rPr>
          <w:rFonts w:ascii="Times New Roman" w:eastAsia="Calibri" w:hAnsi="Times New Roman" w:cs="Times New Roman"/>
          <w:sz w:val="28"/>
          <w:szCs w:val="28"/>
          <w:lang w:val="uk-UA"/>
        </w:rPr>
      </w:pPr>
    </w:p>
    <w:bookmarkEnd w:id="0"/>
    <w:p w:rsidR="00B37FFA" w:rsidRPr="0009323B" w:rsidRDefault="00B37FFA">
      <w:pPr>
        <w:spacing w:after="200" w:line="276" w:lineRule="auto"/>
        <w:rPr>
          <w:rFonts w:ascii="Times New Roman" w:eastAsia="Calibri" w:hAnsi="Times New Roman" w:cs="Times New Roman"/>
          <w:sz w:val="28"/>
          <w:szCs w:val="28"/>
          <w:lang w:val="uk-UA"/>
        </w:rPr>
      </w:pPr>
    </w:p>
    <w:sectPr w:rsidR="00B37FFA" w:rsidRPr="0009323B" w:rsidSect="00E970E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EB"/>
    <w:rsid w:val="0004550F"/>
    <w:rsid w:val="00056B1D"/>
    <w:rsid w:val="0005785E"/>
    <w:rsid w:val="000739F1"/>
    <w:rsid w:val="000869EA"/>
    <w:rsid w:val="0009323B"/>
    <w:rsid w:val="000A77E0"/>
    <w:rsid w:val="000C4AA7"/>
    <w:rsid w:val="001110C6"/>
    <w:rsid w:val="001500B9"/>
    <w:rsid w:val="001550DB"/>
    <w:rsid w:val="00171980"/>
    <w:rsid w:val="001B5ED4"/>
    <w:rsid w:val="001D3284"/>
    <w:rsid w:val="001F5375"/>
    <w:rsid w:val="00207C9B"/>
    <w:rsid w:val="0022356A"/>
    <w:rsid w:val="00295583"/>
    <w:rsid w:val="002E1377"/>
    <w:rsid w:val="002F0ACD"/>
    <w:rsid w:val="002F25B6"/>
    <w:rsid w:val="00353FB2"/>
    <w:rsid w:val="003750A3"/>
    <w:rsid w:val="003C6725"/>
    <w:rsid w:val="003D5B7E"/>
    <w:rsid w:val="00403C66"/>
    <w:rsid w:val="00442588"/>
    <w:rsid w:val="004512EB"/>
    <w:rsid w:val="00474B54"/>
    <w:rsid w:val="004A66DF"/>
    <w:rsid w:val="004C3643"/>
    <w:rsid w:val="004F1080"/>
    <w:rsid w:val="004F7F42"/>
    <w:rsid w:val="0054784D"/>
    <w:rsid w:val="00561608"/>
    <w:rsid w:val="00563733"/>
    <w:rsid w:val="0059042F"/>
    <w:rsid w:val="00591E9E"/>
    <w:rsid w:val="005D1318"/>
    <w:rsid w:val="005D72AD"/>
    <w:rsid w:val="0060602D"/>
    <w:rsid w:val="00627ADD"/>
    <w:rsid w:val="00627CAF"/>
    <w:rsid w:val="00645880"/>
    <w:rsid w:val="006C73C4"/>
    <w:rsid w:val="006D3298"/>
    <w:rsid w:val="006F1FE8"/>
    <w:rsid w:val="0070335C"/>
    <w:rsid w:val="00704E76"/>
    <w:rsid w:val="00720D12"/>
    <w:rsid w:val="0073488C"/>
    <w:rsid w:val="007360D5"/>
    <w:rsid w:val="00736908"/>
    <w:rsid w:val="00736C2F"/>
    <w:rsid w:val="00761E3A"/>
    <w:rsid w:val="00771354"/>
    <w:rsid w:val="007976E8"/>
    <w:rsid w:val="007A7993"/>
    <w:rsid w:val="007C0D9B"/>
    <w:rsid w:val="007C130D"/>
    <w:rsid w:val="007F4955"/>
    <w:rsid w:val="00813425"/>
    <w:rsid w:val="0084779D"/>
    <w:rsid w:val="008575BF"/>
    <w:rsid w:val="00860B6F"/>
    <w:rsid w:val="00864C5C"/>
    <w:rsid w:val="00876AD2"/>
    <w:rsid w:val="0088210D"/>
    <w:rsid w:val="008A3ED6"/>
    <w:rsid w:val="008D2F89"/>
    <w:rsid w:val="008F02B9"/>
    <w:rsid w:val="009172A9"/>
    <w:rsid w:val="00935636"/>
    <w:rsid w:val="00950538"/>
    <w:rsid w:val="009542E1"/>
    <w:rsid w:val="009622C2"/>
    <w:rsid w:val="009B3488"/>
    <w:rsid w:val="009B7713"/>
    <w:rsid w:val="009E55EC"/>
    <w:rsid w:val="009F71F6"/>
    <w:rsid w:val="00A35E56"/>
    <w:rsid w:val="00A67AF6"/>
    <w:rsid w:val="00A81714"/>
    <w:rsid w:val="00A82660"/>
    <w:rsid w:val="00A85C9A"/>
    <w:rsid w:val="00AC3D1A"/>
    <w:rsid w:val="00AD0654"/>
    <w:rsid w:val="00B27711"/>
    <w:rsid w:val="00B37FFA"/>
    <w:rsid w:val="00B8749B"/>
    <w:rsid w:val="00B978A5"/>
    <w:rsid w:val="00C00887"/>
    <w:rsid w:val="00C403FA"/>
    <w:rsid w:val="00C45B03"/>
    <w:rsid w:val="00C50C0A"/>
    <w:rsid w:val="00CC1494"/>
    <w:rsid w:val="00CF5A5A"/>
    <w:rsid w:val="00D028F4"/>
    <w:rsid w:val="00D0380A"/>
    <w:rsid w:val="00D058B9"/>
    <w:rsid w:val="00D33D75"/>
    <w:rsid w:val="00D82A8E"/>
    <w:rsid w:val="00DC57E0"/>
    <w:rsid w:val="00DD3F77"/>
    <w:rsid w:val="00E27EC5"/>
    <w:rsid w:val="00E868AD"/>
    <w:rsid w:val="00E93FB7"/>
    <w:rsid w:val="00EA03CE"/>
    <w:rsid w:val="00EB47C8"/>
    <w:rsid w:val="00EC1430"/>
    <w:rsid w:val="00ED1BFC"/>
    <w:rsid w:val="00ED5C86"/>
    <w:rsid w:val="00EE097B"/>
    <w:rsid w:val="00F168AF"/>
    <w:rsid w:val="00F35904"/>
    <w:rsid w:val="00F4715E"/>
    <w:rsid w:val="00F6112A"/>
    <w:rsid w:val="00F61366"/>
    <w:rsid w:val="00F83BED"/>
    <w:rsid w:val="00F9038E"/>
    <w:rsid w:val="00FB4091"/>
    <w:rsid w:val="00FE1FAC"/>
    <w:rsid w:val="00FE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0891A-EC69-4BB0-8E51-DDD2C657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430"/>
  </w:style>
  <w:style w:type="paragraph" w:styleId="3">
    <w:name w:val="heading 3"/>
    <w:basedOn w:val="a"/>
    <w:next w:val="a"/>
    <w:link w:val="30"/>
    <w:uiPriority w:val="9"/>
    <w:semiHidden/>
    <w:unhideWhenUsed/>
    <w:qFormat/>
    <w:rsid w:val="009E55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E55E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E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9E55EC"/>
    <w:rPr>
      <w:rFonts w:asciiTheme="majorHAnsi" w:eastAsiaTheme="majorEastAsia" w:hAnsiTheme="majorHAnsi" w:cstheme="majorBidi"/>
      <w:color w:val="1F4D78" w:themeColor="accent1" w:themeShade="7F"/>
      <w:sz w:val="24"/>
      <w:szCs w:val="24"/>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
    <w:link w:val="HTML0"/>
    <w:uiPriority w:val="99"/>
    <w:rsid w:val="00B9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eastAsia="ru-RU"/>
    </w:rPr>
  </w:style>
  <w:style w:type="character" w:customStyle="1" w:styleId="HTML0">
    <w:name w:val="Стандартны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basedOn w:val="a0"/>
    <w:link w:val="HTML"/>
    <w:uiPriority w:val="99"/>
    <w:rsid w:val="00B978A5"/>
    <w:rPr>
      <w:rFonts w:ascii="Courier New" w:eastAsia="Times New Roman" w:hAnsi="Courier New" w:cs="Courier New"/>
      <w:color w:val="000000"/>
      <w:sz w:val="28"/>
      <w:szCs w:val="28"/>
      <w:lang w:eastAsia="ru-RU"/>
    </w:rPr>
  </w:style>
  <w:style w:type="character" w:customStyle="1" w:styleId="rvts9">
    <w:name w:val="rvts9"/>
    <w:basedOn w:val="a0"/>
    <w:rsid w:val="00645880"/>
  </w:style>
  <w:style w:type="paragraph" w:customStyle="1" w:styleId="rvps2">
    <w:name w:val="rvps2"/>
    <w:basedOn w:val="a"/>
    <w:rsid w:val="00AC3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38E"/>
  </w:style>
  <w:style w:type="character" w:styleId="a4">
    <w:name w:val="Hyperlink"/>
    <w:basedOn w:val="a0"/>
    <w:uiPriority w:val="99"/>
    <w:unhideWhenUsed/>
    <w:qFormat/>
    <w:rsid w:val="009622C2"/>
    <w:rPr>
      <w:color w:val="0000FF"/>
      <w:u w:val="single"/>
    </w:rPr>
  </w:style>
  <w:style w:type="character" w:customStyle="1" w:styleId="rvts37">
    <w:name w:val="rvts37"/>
    <w:basedOn w:val="a0"/>
    <w:rsid w:val="009622C2"/>
  </w:style>
  <w:style w:type="character" w:customStyle="1" w:styleId="rvts46">
    <w:name w:val="rvts46"/>
    <w:basedOn w:val="a0"/>
    <w:rsid w:val="007C130D"/>
  </w:style>
  <w:style w:type="character" w:styleId="a5">
    <w:name w:val="annotation reference"/>
    <w:basedOn w:val="a0"/>
    <w:uiPriority w:val="99"/>
    <w:semiHidden/>
    <w:unhideWhenUsed/>
    <w:rsid w:val="000739F1"/>
    <w:rPr>
      <w:sz w:val="16"/>
      <w:szCs w:val="16"/>
    </w:rPr>
  </w:style>
  <w:style w:type="paragraph" w:styleId="a6">
    <w:name w:val="annotation text"/>
    <w:basedOn w:val="a"/>
    <w:link w:val="a7"/>
    <w:uiPriority w:val="99"/>
    <w:semiHidden/>
    <w:unhideWhenUsed/>
    <w:rsid w:val="000739F1"/>
    <w:pPr>
      <w:spacing w:line="240" w:lineRule="auto"/>
    </w:pPr>
    <w:rPr>
      <w:sz w:val="20"/>
      <w:szCs w:val="20"/>
    </w:rPr>
  </w:style>
  <w:style w:type="character" w:customStyle="1" w:styleId="a7">
    <w:name w:val="Текст примечания Знак"/>
    <w:basedOn w:val="a0"/>
    <w:link w:val="a6"/>
    <w:uiPriority w:val="99"/>
    <w:semiHidden/>
    <w:rsid w:val="000739F1"/>
    <w:rPr>
      <w:sz w:val="20"/>
      <w:szCs w:val="20"/>
    </w:rPr>
  </w:style>
  <w:style w:type="paragraph" w:styleId="a8">
    <w:name w:val="annotation subject"/>
    <w:basedOn w:val="a6"/>
    <w:next w:val="a6"/>
    <w:link w:val="a9"/>
    <w:uiPriority w:val="99"/>
    <w:semiHidden/>
    <w:unhideWhenUsed/>
    <w:rsid w:val="000739F1"/>
    <w:rPr>
      <w:b/>
      <w:bCs/>
    </w:rPr>
  </w:style>
  <w:style w:type="character" w:customStyle="1" w:styleId="a9">
    <w:name w:val="Тема примечания Знак"/>
    <w:basedOn w:val="a7"/>
    <w:link w:val="a8"/>
    <w:uiPriority w:val="99"/>
    <w:semiHidden/>
    <w:rsid w:val="000739F1"/>
    <w:rPr>
      <w:b/>
      <w:bCs/>
      <w:sz w:val="20"/>
      <w:szCs w:val="20"/>
    </w:rPr>
  </w:style>
  <w:style w:type="paragraph" w:styleId="aa">
    <w:name w:val="Revision"/>
    <w:hidden/>
    <w:uiPriority w:val="99"/>
    <w:semiHidden/>
    <w:rsid w:val="000739F1"/>
    <w:pPr>
      <w:spacing w:after="0" w:line="240" w:lineRule="auto"/>
    </w:pPr>
  </w:style>
  <w:style w:type="paragraph" w:styleId="ab">
    <w:name w:val="Balloon Text"/>
    <w:basedOn w:val="a"/>
    <w:link w:val="ac"/>
    <w:uiPriority w:val="99"/>
    <w:semiHidden/>
    <w:unhideWhenUsed/>
    <w:rsid w:val="000739F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73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059295">
      <w:bodyDiv w:val="1"/>
      <w:marLeft w:val="0"/>
      <w:marRight w:val="0"/>
      <w:marTop w:val="0"/>
      <w:marBottom w:val="0"/>
      <w:divBdr>
        <w:top w:val="none" w:sz="0" w:space="0" w:color="auto"/>
        <w:left w:val="none" w:sz="0" w:space="0" w:color="auto"/>
        <w:bottom w:val="none" w:sz="0" w:space="0" w:color="auto"/>
        <w:right w:val="none" w:sz="0" w:space="0" w:color="auto"/>
      </w:divBdr>
    </w:div>
    <w:div w:id="626744196">
      <w:bodyDiv w:val="1"/>
      <w:marLeft w:val="0"/>
      <w:marRight w:val="0"/>
      <w:marTop w:val="0"/>
      <w:marBottom w:val="0"/>
      <w:divBdr>
        <w:top w:val="none" w:sz="0" w:space="0" w:color="auto"/>
        <w:left w:val="none" w:sz="0" w:space="0" w:color="auto"/>
        <w:bottom w:val="none" w:sz="0" w:space="0" w:color="auto"/>
        <w:right w:val="none" w:sz="0" w:space="0" w:color="auto"/>
      </w:divBdr>
    </w:div>
    <w:div w:id="658537161">
      <w:bodyDiv w:val="1"/>
      <w:marLeft w:val="0"/>
      <w:marRight w:val="0"/>
      <w:marTop w:val="0"/>
      <w:marBottom w:val="0"/>
      <w:divBdr>
        <w:top w:val="none" w:sz="0" w:space="0" w:color="auto"/>
        <w:left w:val="none" w:sz="0" w:space="0" w:color="auto"/>
        <w:bottom w:val="none" w:sz="0" w:space="0" w:color="auto"/>
        <w:right w:val="none" w:sz="0" w:space="0" w:color="auto"/>
      </w:divBdr>
    </w:div>
    <w:div w:id="857700967">
      <w:bodyDiv w:val="1"/>
      <w:marLeft w:val="0"/>
      <w:marRight w:val="0"/>
      <w:marTop w:val="0"/>
      <w:marBottom w:val="0"/>
      <w:divBdr>
        <w:top w:val="none" w:sz="0" w:space="0" w:color="auto"/>
        <w:left w:val="none" w:sz="0" w:space="0" w:color="auto"/>
        <w:bottom w:val="none" w:sz="0" w:space="0" w:color="auto"/>
        <w:right w:val="none" w:sz="0" w:space="0" w:color="auto"/>
      </w:divBdr>
    </w:div>
    <w:div w:id="927228784">
      <w:bodyDiv w:val="1"/>
      <w:marLeft w:val="0"/>
      <w:marRight w:val="0"/>
      <w:marTop w:val="0"/>
      <w:marBottom w:val="0"/>
      <w:divBdr>
        <w:top w:val="none" w:sz="0" w:space="0" w:color="auto"/>
        <w:left w:val="none" w:sz="0" w:space="0" w:color="auto"/>
        <w:bottom w:val="none" w:sz="0" w:space="0" w:color="auto"/>
        <w:right w:val="none" w:sz="0" w:space="0" w:color="auto"/>
      </w:divBdr>
    </w:div>
    <w:div w:id="1423645004">
      <w:bodyDiv w:val="1"/>
      <w:marLeft w:val="0"/>
      <w:marRight w:val="0"/>
      <w:marTop w:val="0"/>
      <w:marBottom w:val="0"/>
      <w:divBdr>
        <w:top w:val="none" w:sz="0" w:space="0" w:color="auto"/>
        <w:left w:val="none" w:sz="0" w:space="0" w:color="auto"/>
        <w:bottom w:val="none" w:sz="0" w:space="0" w:color="auto"/>
        <w:right w:val="none" w:sz="0" w:space="0" w:color="auto"/>
      </w:divBdr>
    </w:div>
    <w:div w:id="1534657028">
      <w:bodyDiv w:val="1"/>
      <w:marLeft w:val="0"/>
      <w:marRight w:val="0"/>
      <w:marTop w:val="0"/>
      <w:marBottom w:val="0"/>
      <w:divBdr>
        <w:top w:val="none" w:sz="0" w:space="0" w:color="auto"/>
        <w:left w:val="none" w:sz="0" w:space="0" w:color="auto"/>
        <w:bottom w:val="none" w:sz="0" w:space="0" w:color="auto"/>
        <w:right w:val="none" w:sz="0" w:space="0" w:color="auto"/>
      </w:divBdr>
    </w:div>
    <w:div w:id="1658338810">
      <w:bodyDiv w:val="1"/>
      <w:marLeft w:val="0"/>
      <w:marRight w:val="0"/>
      <w:marTop w:val="0"/>
      <w:marBottom w:val="0"/>
      <w:divBdr>
        <w:top w:val="none" w:sz="0" w:space="0" w:color="auto"/>
        <w:left w:val="none" w:sz="0" w:space="0" w:color="auto"/>
        <w:bottom w:val="none" w:sz="0" w:space="0" w:color="auto"/>
        <w:right w:val="none" w:sz="0" w:space="0" w:color="auto"/>
      </w:divBdr>
    </w:div>
    <w:div w:id="1887253093">
      <w:bodyDiv w:val="1"/>
      <w:marLeft w:val="0"/>
      <w:marRight w:val="0"/>
      <w:marTop w:val="0"/>
      <w:marBottom w:val="0"/>
      <w:divBdr>
        <w:top w:val="none" w:sz="0" w:space="0" w:color="auto"/>
        <w:left w:val="none" w:sz="0" w:space="0" w:color="auto"/>
        <w:bottom w:val="none" w:sz="0" w:space="0" w:color="auto"/>
        <w:right w:val="none" w:sz="0" w:space="0" w:color="auto"/>
      </w:divBdr>
    </w:div>
    <w:div w:id="20027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8609</Characters>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2020-08-25T10:56:00Z</dcterms:created>
  <dcterms:modified xsi:type="dcterms:W3CDTF">2020-08-25T11:14:00Z</dcterms:modified>
</cp:coreProperties>
</file>