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4C44" w14:textId="72E425DD" w:rsidR="00100DA6" w:rsidRDefault="00100DA6" w:rsidP="00100DA6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до листа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ТелПУ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23.09.2020 №2506</w:t>
      </w:r>
    </w:p>
    <w:p w14:paraId="4795F438" w14:textId="11576C6D" w:rsidR="003B59B9" w:rsidRPr="006F4655" w:rsidRDefault="002772AB" w:rsidP="003B59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4655">
        <w:rPr>
          <w:rFonts w:ascii="Times New Roman" w:hAnsi="Times New Roman" w:cs="Times New Roman"/>
          <w:b/>
          <w:sz w:val="24"/>
          <w:szCs w:val="24"/>
          <w:lang w:val="uk-UA"/>
        </w:rPr>
        <w:t>ПРОПОЗИЦЇ</w:t>
      </w:r>
      <w:r w:rsidR="006F46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ТЕЛЕКОМПАЛАТИ</w:t>
      </w:r>
    </w:p>
    <w:p w14:paraId="5EC6E09C" w14:textId="77777777" w:rsidR="00240A98" w:rsidRPr="006F4655" w:rsidRDefault="002772AB" w:rsidP="003B59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465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B59B9" w:rsidRPr="006F4655">
        <w:rPr>
          <w:rFonts w:ascii="Times New Roman" w:hAnsi="Times New Roman" w:cs="Times New Roman"/>
          <w:sz w:val="24"/>
          <w:szCs w:val="24"/>
          <w:lang w:val="uk-UA"/>
        </w:rPr>
        <w:t>ПРОЕКТУ ЗАКОНУ ПРО МЕДІА 2693-д від 02.07.2020</w:t>
      </w: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4779"/>
        <w:gridCol w:w="4779"/>
      </w:tblGrid>
      <w:tr w:rsidR="003A68C9" w:rsidRPr="006F4655" w14:paraId="3FE23552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EA39977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35432713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6C3ECA42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</w:t>
            </w:r>
          </w:p>
        </w:tc>
      </w:tr>
      <w:tr w:rsidR="003A68C9" w:rsidRPr="006F4655" w14:paraId="324772A3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642461A1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62C24B55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2D0E0A8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2B0CD86F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7A059660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366E5CC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D8AA5F0" w14:textId="77777777" w:rsidR="003A68C9" w:rsidRPr="006F4655" w:rsidRDefault="003A68C9" w:rsidP="003A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BB9" w:rsidRPr="006F4655" w14:paraId="120B12BF" w14:textId="77777777" w:rsidTr="00257CC7">
        <w:trPr>
          <w:trHeight w:val="505"/>
        </w:trPr>
        <w:tc>
          <w:tcPr>
            <w:tcW w:w="5119" w:type="dxa"/>
            <w:shd w:val="clear" w:color="auto" w:fill="auto"/>
            <w:noWrap/>
            <w:vAlign w:val="center"/>
          </w:tcPr>
          <w:p w14:paraId="26D7D18C" w14:textId="77777777" w:rsidR="00251BB9" w:rsidRPr="006F4655" w:rsidRDefault="00251BB9" w:rsidP="0025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Сфера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Закону</w:t>
            </w:r>
          </w:p>
        </w:tc>
        <w:tc>
          <w:tcPr>
            <w:tcW w:w="4779" w:type="dxa"/>
            <w:shd w:val="clear" w:color="auto" w:fill="auto"/>
            <w:noWrap/>
            <w:vAlign w:val="center"/>
          </w:tcPr>
          <w:p w14:paraId="408EBCAE" w14:textId="77777777" w:rsidR="00251BB9" w:rsidRPr="006F4655" w:rsidRDefault="00251BB9" w:rsidP="0025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Сфера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Закону</w:t>
            </w:r>
          </w:p>
        </w:tc>
        <w:tc>
          <w:tcPr>
            <w:tcW w:w="4779" w:type="dxa"/>
            <w:shd w:val="clear" w:color="auto" w:fill="auto"/>
            <w:vAlign w:val="center"/>
          </w:tcPr>
          <w:p w14:paraId="3EE92A5D" w14:textId="77777777" w:rsidR="00251BB9" w:rsidRPr="006F4655" w:rsidRDefault="00251BB9" w:rsidP="0025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8C9" w:rsidRPr="006F4655" w14:paraId="06B61862" w14:textId="77777777" w:rsidTr="00D80459">
        <w:trPr>
          <w:trHeight w:val="296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DDADE8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підпадає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юрисдикцію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зачіпає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Центральна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задля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таким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меморандуму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6097191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підпадає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юрисдикцію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зачіпає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рада, Центральна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виборча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сферах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задля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таким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Закону,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меморандуму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1FAB38FE" w14:textId="77777777" w:rsidR="003A68C9" w:rsidRPr="006F4655" w:rsidRDefault="003A68C9" w:rsidP="00A3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="00784435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0DE55AD9" w14:textId="77777777" w:rsidTr="00257CC7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2D20C3F" w14:textId="77777777" w:rsidR="003A68C9" w:rsidRPr="006F4655" w:rsidRDefault="003A68C9" w:rsidP="0025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Провайдери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1F2C798C" w14:textId="77777777" w:rsidR="003A68C9" w:rsidRPr="006F4655" w:rsidRDefault="003A68C9" w:rsidP="0025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17.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Провайдери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083FAD3B" w14:textId="77777777" w:rsidR="003A68C9" w:rsidRPr="006F4655" w:rsidRDefault="003A68C9" w:rsidP="0025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6B67D345" w14:textId="77777777" w:rsidTr="00780B24">
        <w:trPr>
          <w:trHeight w:val="12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32DAE2F7" w14:textId="77777777" w:rsidR="003A68C9" w:rsidRPr="006F4655" w:rsidRDefault="003A68C9" w:rsidP="009D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відсутня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1241F70C" w14:textId="007826F3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забороняється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провайдерами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80B24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зокрема</w:t>
            </w:r>
            <w:proofErr w:type="spellEnd"/>
            <w:r w:rsidR="00780B24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0B24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іноземними,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Закону, 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оплата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Договори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Закону,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користувачами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нікчемними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07AF4E9F" w14:textId="77777777" w:rsidR="003A68C9" w:rsidRPr="006F4655" w:rsidRDefault="003A68C9" w:rsidP="00A3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Чітка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норма, яка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зобовязує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реєструватися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субєктам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іноземним</w:t>
            </w:r>
            <w:proofErr w:type="spellEnd"/>
            <w:r w:rsidR="00934636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0B4BE8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недотримання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14F9FE51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920F009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прозорості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FA54762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прозорості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12B06AB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3D0EBCD5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559E201F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Структура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E433608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Структура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637C928B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3A0DDCE6" w14:textId="77777777" w:rsidTr="00780B24">
        <w:trPr>
          <w:trHeight w:val="3122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796F0527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рівнях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332597D7" w14:textId="77777777" w:rsidR="003A68C9" w:rsidRPr="006F4655" w:rsidRDefault="003A68C9" w:rsidP="006F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виключити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1A7B53B0" w14:textId="1FD160DA" w:rsidR="00A324E6" w:rsidRPr="006F4655" w:rsidRDefault="00A324E6" w:rsidP="0024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Будь-які обмеження мають бути необхідними та пропорційними, а також спрямовуватися на досягнення мети із забезпечення загального інтересу,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звязку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цим з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аборона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структурі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компанії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офшорів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унеможливлює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легальний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точки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зору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інвестування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0C1BA513" w14:textId="77777777" w:rsidR="00A324E6" w:rsidRPr="006F4655" w:rsidRDefault="00A324E6" w:rsidP="0024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ED185" w14:textId="08464D99" w:rsidR="003A68C9" w:rsidRPr="006F4655" w:rsidRDefault="003A68C9" w:rsidP="0024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струкутури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повязане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98901D" w14:textId="77777777" w:rsidR="00A324E6" w:rsidRPr="006F4655" w:rsidRDefault="00A324E6" w:rsidP="00F1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8C0EC" w14:textId="506FD60E" w:rsidR="00F158CA" w:rsidRPr="006F4655" w:rsidRDefault="00F158CA" w:rsidP="00F1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A68C9" w:rsidRPr="006F4655" w14:paraId="708C1358" w14:textId="77777777" w:rsidTr="006F6C47">
        <w:trPr>
          <w:trHeight w:val="222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0E0421D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привести свою структуру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76553536" w14:textId="77777777" w:rsidR="003A68C9" w:rsidRPr="006F4655" w:rsidRDefault="003A68C9" w:rsidP="006F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виключити</w:t>
            </w:r>
            <w:proofErr w:type="spellEnd"/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3DE76149" w14:textId="77777777" w:rsidR="003A68C9" w:rsidRPr="006F4655" w:rsidRDefault="003A68C9" w:rsidP="006F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142FC3A1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8CF1167" w14:textId="77777777" w:rsidR="003A68C9" w:rsidRPr="006F4655" w:rsidRDefault="003A68C9" w:rsidP="0024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ADB6EC4" w14:textId="77777777" w:rsidR="003A68C9" w:rsidRPr="006F4655" w:rsidRDefault="003A68C9" w:rsidP="0024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продукт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F352094" w14:textId="77777777" w:rsidR="003A68C9" w:rsidRPr="006F4655" w:rsidRDefault="003A68C9" w:rsidP="0024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3F86253F" w14:textId="77777777" w:rsidTr="00242F9F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770C69E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C8047AF" w14:textId="146E26CB" w:rsidR="003A68C9" w:rsidRPr="006F4655" w:rsidRDefault="003A68C9" w:rsidP="00162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="001625DD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чиї</w:t>
            </w:r>
            <w:proofErr w:type="spellEnd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медіа-сервіси</w:t>
            </w:r>
            <w:proofErr w:type="spellEnd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  <w:r w:rsidR="001625DD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223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європейський</w:t>
            </w:r>
            <w:proofErr w:type="spellEnd"/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304AC577" w14:textId="00DF9291" w:rsidR="003A68C9" w:rsidRPr="006F4655" w:rsidRDefault="003A68C9" w:rsidP="00A32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европейского продукту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розповсюджуватись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</w:t>
            </w:r>
            <w:r w:rsidR="00A324E6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7708AD4A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84FB28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480102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7FF8635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7B739E36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2ECED3D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765612A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F16742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19C49212" w14:textId="77777777" w:rsidTr="00AF75FA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D8982D8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відсутній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3F6D4A72" w14:textId="379069E0" w:rsidR="003A68C9" w:rsidRPr="006F4655" w:rsidRDefault="00780B24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…</w:t>
            </w:r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="001E749C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ліній</w:t>
            </w:r>
            <w:proofErr w:type="spellEnd"/>
            <w:r w:rsidR="00A324E6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них</w:t>
            </w:r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віднесені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тематичних</w:t>
            </w:r>
            <w:proofErr w:type="spellEnd"/>
            <w:r w:rsidR="00293D5A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віднесення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лінійних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тематичних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обсяги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таких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розробляються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затверджуються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спільно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органом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спільного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регулювання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5ECDD72C" w14:textId="227C3753" w:rsidR="003A68C9" w:rsidRPr="006F4655" w:rsidRDefault="003A68C9" w:rsidP="00AF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Квота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встановлюватись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органами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співрегулвання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Аналогічно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квотуванню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націн</w:t>
            </w:r>
            <w:r w:rsidR="00AF75FA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европейского продукту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врахуванням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</w:t>
            </w:r>
            <w:r w:rsidR="00D1789E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5A4F0FCA" w14:textId="77777777" w:rsidTr="00D77123">
        <w:trPr>
          <w:trHeight w:val="259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524834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фільмів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менше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фільмів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дубляжу)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фільмів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сьомої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4CCD9E4" w14:textId="20FF5186" w:rsidR="003A68C9" w:rsidRPr="006F4655" w:rsidRDefault="003A68C9" w:rsidP="00BB0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</w:t>
            </w:r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каталозі</w:t>
            </w:r>
            <w:proofErr w:type="spellEnd"/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фільмів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". 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дубляжу,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субтитрування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фільмів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визначається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сьомої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41CFC1EA" w14:textId="77777777" w:rsidR="003A68C9" w:rsidRPr="006F4655" w:rsidRDefault="003A68C9" w:rsidP="00D7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поточного стану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123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</w:t>
            </w:r>
            <w:r w:rsidR="00D77123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гів на замовлення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законавства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253B32F9" w14:textId="77777777" w:rsidTr="008E5E01">
        <w:trPr>
          <w:trHeight w:val="370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61D93C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кожному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еротичного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текстового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телеканалами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державною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отримали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статей 50, 63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7BBC3A9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кожному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еротичного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спортивного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текстового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телеканалами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 державною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радіоканали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отримали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статей 50, 63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594E2055" w14:textId="4E654795" w:rsidR="003A68C9" w:rsidRPr="006F4655" w:rsidRDefault="003A68C9" w:rsidP="00360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Розширити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</w:t>
            </w:r>
            <w:proofErr w:type="spellEnd"/>
            <w:r w:rsidR="00A1573D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93D5A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вязкової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вітчизняни</w:t>
            </w:r>
            <w:proofErr w:type="spellEnd"/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спортивні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контенту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вкрай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запропонована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штучно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3609B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пакетах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0048D257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6B1F48FB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трауру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скорботи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жалоби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пам’яті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A3FACD0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44.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трауру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скорботи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жалоби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пам’яті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67D56321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24D42C63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4BA15E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трауру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71E7A8B1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трауру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крім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F3F9216" w14:textId="63DA4A6D" w:rsidR="003A68C9" w:rsidRPr="006F4655" w:rsidRDefault="003A68C9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гумор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D5A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призведе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93D5A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повного</w:t>
            </w:r>
            <w:proofErr w:type="spellEnd"/>
            <w:r w:rsidR="00293D5A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488D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="007F488D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488D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3D0A3B91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7AB795FF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48.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Облік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друкованих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70025524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48.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Облік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друкованих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2489298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7A3B60F4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C9BED4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14E9F70A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фіксуються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6EB6E9F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0A354F2B" w14:textId="77777777" w:rsidTr="007F488D">
        <w:trPr>
          <w:trHeight w:val="111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53036CF2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продуктом,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продуктом, продуктом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57766F1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продуктом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10B4FC07" w14:textId="77777777" w:rsidR="003A68C9" w:rsidRPr="006F4655" w:rsidRDefault="003A68C9" w:rsidP="007F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виклчно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европйского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78F0B746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3A2AE80F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90.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1B154D3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90.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1B3FC837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59AE7F14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5B3FBB4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4CC0B39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42D7539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63F0428A" w14:textId="77777777" w:rsidTr="007F488D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64DF71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органом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віднесення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 для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38, 39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80CD225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органом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віднесення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продукту,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38, 39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40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Закону;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2EE6B666" w14:textId="77777777" w:rsidR="003A68C9" w:rsidRPr="006F4655" w:rsidRDefault="003A68C9" w:rsidP="007F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співрегулювання</w:t>
            </w:r>
            <w:proofErr w:type="spellEnd"/>
            <w:r w:rsidR="002A176F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7A87EEC5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335A005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92.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предмет і мета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B48AB4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92.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предмет і мета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регулювання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7DDF4C88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53104617" w14:textId="77777777" w:rsidTr="00780B24">
        <w:trPr>
          <w:trHeight w:val="987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BDFF50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обов’язок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дотримуватись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69C7D1F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добровільно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обов’язок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дотримуватись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31CE514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391394A4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325DB68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предмету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030082C" w14:textId="38105572" w:rsidR="003A68C9" w:rsidRPr="006F4655" w:rsidRDefault="00780B24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</w:t>
            </w:r>
            <w:proofErr w:type="gram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="003A68C9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DB6637D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2515C847" w14:textId="77777777" w:rsidTr="00251BB9">
        <w:trPr>
          <w:trHeight w:val="111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3F3A3670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віднесення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 для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37473EE1" w14:textId="01B0EE1F" w:rsidR="003A68C9" w:rsidRPr="006F4655" w:rsidRDefault="003A68C9" w:rsidP="00BB0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віднесення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223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продукту,</w:t>
            </w:r>
            <w:r w:rsidR="00BB07A1"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43440F8F" w14:textId="77777777" w:rsidR="003A68C9" w:rsidRPr="006F4655" w:rsidRDefault="003A68C9" w:rsidP="003A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7C908207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FB111C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99. Заходи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703CBCB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99. Заходи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47AE160B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68C9" w:rsidRPr="006F4655" w14:paraId="7A6814DA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ED9452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Заходами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03F81EE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Заходами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припис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1F682BE1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1C3463EE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5F4EDAE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04ED0B4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виключити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0AA94E7A" w14:textId="77777777" w:rsidR="003A68C9" w:rsidRPr="006F4655" w:rsidRDefault="003A68C9" w:rsidP="003A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редакційно</w:t>
            </w:r>
            <w:proofErr w:type="spellEnd"/>
          </w:p>
        </w:tc>
      </w:tr>
      <w:tr w:rsidR="003A68C9" w:rsidRPr="006F4655" w14:paraId="377FC18B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0EA717D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D107B9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виключити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2CBB56CF" w14:textId="77777777" w:rsidR="003A68C9" w:rsidRPr="006F4655" w:rsidRDefault="003A68C9" w:rsidP="003A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санкцією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6205A7" w14:textId="32F9BABD" w:rsidR="00293D5A" w:rsidRPr="006F4655" w:rsidRDefault="00293D5A" w:rsidP="00B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526B7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запропнованій редакції вид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 </w:t>
            </w:r>
            <w:r w:rsidR="00B526B7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реагування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буде припис, все інше це санкції (зокрема і скасування реєстрації медіа).</w:t>
            </w:r>
          </w:p>
        </w:tc>
      </w:tr>
      <w:tr w:rsidR="003A68C9" w:rsidRPr="006F4655" w14:paraId="7BB390CB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3B30BE39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7FE6A8B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64A4E88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64F92FEA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32C6B05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штраф;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B679F00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штраф;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214B689E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4A3FE268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6B01EE4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6D9DE678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зокрема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5D9F7B09" w14:textId="77777777" w:rsidR="003A68C9" w:rsidRPr="006F4655" w:rsidRDefault="003A68C9" w:rsidP="003A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санкцією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7E788908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FDD9D54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3E9686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6C57C6F5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59C4C930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712DE4A0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8A8BD8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4C7C5B3B" w14:textId="77777777" w:rsidR="003A68C9" w:rsidRPr="006F4655" w:rsidRDefault="003A68C9" w:rsidP="003A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68C9" w:rsidRPr="006F4655" w14:paraId="63D58EC1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6D671FB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8386AD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1766F519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0A879265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2D277AE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 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F460177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ради. 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2BB2EF00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5A39F1F8" w14:textId="77777777" w:rsidTr="00251BB9">
        <w:trPr>
          <w:trHeight w:val="111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E07D36F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D46F947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06D5FC3A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0EDA0102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7C049A12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797A2B8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6F4A422F" w14:textId="77777777" w:rsidR="003A68C9" w:rsidRPr="006F4655" w:rsidRDefault="003A68C9" w:rsidP="003A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редакційно</w:t>
            </w:r>
            <w:proofErr w:type="spellEnd"/>
          </w:p>
        </w:tc>
      </w:tr>
      <w:tr w:rsidR="003A68C9" w:rsidRPr="006F4655" w14:paraId="799ADB08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5C656DFC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 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3A394898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 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42A2C636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C9" w:rsidRPr="006F4655" w14:paraId="40019756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4D1C4CE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3E77F943" w14:textId="77777777" w:rsidR="003A68C9" w:rsidRPr="006F4655" w:rsidRDefault="003A68C9" w:rsidP="003A6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тягне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1BA264CC" w14:textId="77777777" w:rsidR="003A68C9" w:rsidRPr="006F4655" w:rsidRDefault="003A68C9" w:rsidP="003A6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редакційно</w:t>
            </w:r>
            <w:proofErr w:type="spellEnd"/>
          </w:p>
        </w:tc>
      </w:tr>
      <w:tr w:rsidR="00293D5A" w:rsidRPr="006F4655" w14:paraId="4D54CF17" w14:textId="77777777" w:rsidTr="00657CFE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817A50C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 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E2378ED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виключно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суду. 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11E30573" w14:textId="1AC80B4B" w:rsidR="00293D5A" w:rsidRPr="006F4655" w:rsidRDefault="00293D5A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3CE5FDD3" w14:textId="77777777" w:rsidTr="00657CFE">
        <w:trPr>
          <w:trHeight w:val="111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99975AE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1F446343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Санкція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1DA0CD05" w14:textId="77F67E3F" w:rsidR="00293D5A" w:rsidRPr="006F4655" w:rsidRDefault="00293D5A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2001416D" w14:textId="77777777" w:rsidTr="00657CFE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5E476CA7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75203D2C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70D7C082" w14:textId="7A9FCF02" w:rsidR="00293D5A" w:rsidRPr="006F4655" w:rsidRDefault="00293D5A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4A9472F7" w14:textId="77777777" w:rsidTr="005A0EA1">
        <w:trPr>
          <w:trHeight w:val="983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6B37B25C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веб-сайт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UA.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УКР., -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зупинити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доменного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хостингу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резидентом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2C2635D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веб-сайт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UA.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УКР., -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зупинити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доменного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хостингу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резидентом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066ACF04" w14:textId="17BD01FC" w:rsidR="00293D5A" w:rsidRPr="006F4655" w:rsidRDefault="00293D5A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підхід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0D17F72B" w14:textId="77777777" w:rsidTr="00DE4DF6">
        <w:trPr>
          <w:trHeight w:val="222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3C0B5582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але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провайдера (оператора)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19DC25A9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але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постачальника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хостингу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резидентом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веб-сайту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сторінки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припинити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ресурсівв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2D9D782C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Мова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вітчизняних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хостерів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7656BE14" w14:textId="77777777" w:rsidTr="00251BB9">
        <w:trPr>
          <w:trHeight w:val="185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6B71F586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DE50BC5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зазначивши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рішенні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домен та/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IP-адресу веб-сайту; 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2701423C" w14:textId="1372DAFF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40C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частині технічних характеристик сайту 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опараторам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корректно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25BBC03B" w14:textId="77777777" w:rsidTr="00096663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78C6EDA3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онлайн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онлайн-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2978778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онлайн-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</w:tcPr>
          <w:p w14:paraId="0A34C6D0" w14:textId="77777777" w:rsidR="00293D5A" w:rsidRPr="006F4655" w:rsidRDefault="00293D5A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58D94F39" w14:textId="77777777" w:rsidTr="00251BB9">
        <w:trPr>
          <w:trHeight w:val="111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ECA576A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123.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3884CBF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123.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іноземних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аудіовізуальні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3EF5054E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D5A" w:rsidRPr="006F4655" w14:paraId="04194E68" w14:textId="77777777" w:rsidTr="00DE4DF6">
        <w:trPr>
          <w:trHeight w:val="370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3C1239D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суду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437FF2B6" w14:textId="46B44E8B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звернутися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суду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не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поширюється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випадки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угоди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аудівізуальним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63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зокрема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1E8EFE32" w14:textId="48662FC8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Ровповсюдження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</w:t>
            </w:r>
            <w:r w:rsidR="00BC3C55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="00BC3C55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РФ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каталоги з РФ.</w:t>
            </w:r>
          </w:p>
          <w:p w14:paraId="6EBA81FA" w14:textId="30CD7388" w:rsidR="00293D5A" w:rsidRPr="006F4655" w:rsidRDefault="00293D5A" w:rsidP="00BC3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3C55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ропонується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розповсюжується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вітчизняними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C55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легалізованими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</w:t>
            </w:r>
            <w:proofErr w:type="spellEnd"/>
            <w:r w:rsidR="00BC3C55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покладається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C3C55"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субєктів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4C7138EC" w14:textId="77777777" w:rsidTr="00251BB9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59E1A58D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заборони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098EDC9" w14:textId="7C509350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заборони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таких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45E71083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2DBC595D" w14:textId="77777777" w:rsidTr="00251BB9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EA18C94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державі-агресорі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державі-окупанті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069AD140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провайдер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державі-агресорі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державі-окупанті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7C5A42A9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228C4C8B" w14:textId="77777777" w:rsidTr="00251BB9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2DBD03F3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будь-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ланцюга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правами такого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особа,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74D5FD6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істотної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будь-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ланцюга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правами такого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особа,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Закону;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7E62776B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052057A7" w14:textId="77777777" w:rsidTr="00251BB9">
        <w:trPr>
          <w:trHeight w:val="74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7B612FF5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держави-агресора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держави-окупанта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A79C46F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переважно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держави-агресора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держави-окупанта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0C71CF0A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4B1A9157" w14:textId="77777777" w:rsidTr="00251BB9">
        <w:trPr>
          <w:trHeight w:val="111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4CF4ACE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відсутня</w:t>
            </w:r>
            <w:proofErr w:type="spellEnd"/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5F758FF5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провайдер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63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Закону.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3C20A303" w14:textId="77777777" w:rsidR="00293D5A" w:rsidRPr="006F4655" w:rsidRDefault="00293D5A" w:rsidP="0029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ітка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норма, яка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зобовязує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реєструватися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провайдерам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аудівізальних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3D5A" w:rsidRPr="006F4655" w14:paraId="03455D0F" w14:textId="77777777" w:rsidTr="00780B24">
        <w:trPr>
          <w:trHeight w:val="1696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55469BFC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ухвалює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суду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загрозу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заходу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суду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10DAE32C" w14:textId="50DBE428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дня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обставин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ухвалює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суду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створює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загрозу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заходу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інтереси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суду</w:t>
            </w:r>
            <w:proofErr w:type="gram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3849D38B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452DB336" w14:textId="77777777" w:rsidTr="00251BB9">
        <w:trPr>
          <w:trHeight w:val="185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70FA899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4EC3A623" w14:textId="54F5CEA5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Заборона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провайдера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провайдерів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обмежити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42C9722B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318EB0F7" w14:textId="77777777" w:rsidTr="00780B24">
        <w:trPr>
          <w:trHeight w:val="703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0541056C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державою-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агресором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(державою-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окупантом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втрачають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2A79BBCE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Верховною Радою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державою-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агресором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(державою-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окупантом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медіа-сервісу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замовлення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провайдера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втрачають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1B2690D3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5A" w:rsidRPr="006F4655" w14:paraId="060885DB" w14:textId="77777777" w:rsidTr="00251BB9">
        <w:trPr>
          <w:trHeight w:val="37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A27C40E" w14:textId="77777777" w:rsidR="00293D5A" w:rsidRPr="006F4655" w:rsidRDefault="00293D5A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ПРИКІНЦЕВІ ТА ПЕРЕХІДНІ ПОЛОЖЕННЯ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72991C22" w14:textId="77777777" w:rsidR="00293D5A" w:rsidRPr="006F4655" w:rsidRDefault="00293D5A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ПРИКІНЦЕВІ ТА ПЕРЕХІДНІ ПОЛОЖЕННЯ</w:t>
            </w:r>
          </w:p>
        </w:tc>
        <w:tc>
          <w:tcPr>
            <w:tcW w:w="4779" w:type="dxa"/>
            <w:shd w:val="clear" w:color="auto" w:fill="auto"/>
            <w:vAlign w:val="bottom"/>
            <w:hideMark/>
          </w:tcPr>
          <w:p w14:paraId="76D93664" w14:textId="77777777" w:rsidR="00293D5A" w:rsidRPr="006F4655" w:rsidRDefault="00293D5A" w:rsidP="0029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3D5A" w:rsidRPr="006F4655" w14:paraId="366B4E2A" w14:textId="77777777" w:rsidTr="00D65541">
        <w:trPr>
          <w:trHeight w:val="1480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1003C8DA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з дня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 Плата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7C3CFFB3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Впродовж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з дня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нелінійних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аудіовізуальних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Закону. Плата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4B2A722F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Редакційно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напевно мова йде не про оплату рєстраційного збору, а саме про механізм ресєтрації.</w:t>
            </w:r>
          </w:p>
        </w:tc>
      </w:tr>
      <w:tr w:rsidR="00293D5A" w:rsidRPr="006F4655" w14:paraId="3AA77833" w14:textId="77777777" w:rsidTr="00780B24">
        <w:trPr>
          <w:trHeight w:val="841"/>
        </w:trPr>
        <w:tc>
          <w:tcPr>
            <w:tcW w:w="5119" w:type="dxa"/>
            <w:shd w:val="clear" w:color="auto" w:fill="auto"/>
            <w:noWrap/>
            <w:vAlign w:val="center"/>
            <w:hideMark/>
          </w:tcPr>
          <w:p w14:paraId="4DA279F9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“8-1)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дискримінації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дискримінацією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трафіком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тією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пріоритету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</w:tc>
        <w:tc>
          <w:tcPr>
            <w:tcW w:w="4779" w:type="dxa"/>
            <w:shd w:val="clear" w:color="auto" w:fill="auto"/>
            <w:noWrap/>
            <w:vAlign w:val="center"/>
            <w:hideMark/>
          </w:tcPr>
          <w:p w14:paraId="6D2E21B1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“8-1) не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дискримінації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порівняно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дискримінацією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трафіком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тією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мірою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необхідною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телекомунікаційної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рішень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пріоритету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при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телекомунікаційних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14:paraId="1DCF7425" w14:textId="77777777" w:rsidR="00293D5A" w:rsidRPr="006F4655" w:rsidRDefault="00293D5A" w:rsidP="00293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мережевого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нейтралітету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розповсюджується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і на </w:t>
            </w:r>
            <w:proofErr w:type="spellStart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proofErr w:type="spellEnd"/>
            <w:r w:rsidRPr="006F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5BAFE50" w14:textId="77777777" w:rsidR="003A68C9" w:rsidRPr="006F4655" w:rsidRDefault="003A68C9">
      <w:pPr>
        <w:rPr>
          <w:rFonts w:ascii="Times New Roman" w:hAnsi="Times New Roman" w:cs="Times New Roman"/>
          <w:sz w:val="24"/>
          <w:szCs w:val="24"/>
        </w:rPr>
      </w:pPr>
    </w:p>
    <w:sectPr w:rsidR="003A68C9" w:rsidRPr="006F4655" w:rsidSect="006F46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C9"/>
    <w:rsid w:val="00024B54"/>
    <w:rsid w:val="00096663"/>
    <w:rsid w:val="000B4BE8"/>
    <w:rsid w:val="00100DA6"/>
    <w:rsid w:val="001625DD"/>
    <w:rsid w:val="001E749C"/>
    <w:rsid w:val="001F640C"/>
    <w:rsid w:val="00233413"/>
    <w:rsid w:val="00240A98"/>
    <w:rsid w:val="00242F9F"/>
    <w:rsid w:val="00251BB9"/>
    <w:rsid w:val="00257CC7"/>
    <w:rsid w:val="00273A1B"/>
    <w:rsid w:val="002772AB"/>
    <w:rsid w:val="00293D5A"/>
    <w:rsid w:val="002A176F"/>
    <w:rsid w:val="003609B1"/>
    <w:rsid w:val="003A68C9"/>
    <w:rsid w:val="003B59B9"/>
    <w:rsid w:val="003F5C2E"/>
    <w:rsid w:val="005A0EA1"/>
    <w:rsid w:val="00657CFE"/>
    <w:rsid w:val="006D4560"/>
    <w:rsid w:val="006F4655"/>
    <w:rsid w:val="006F6C47"/>
    <w:rsid w:val="00780B24"/>
    <w:rsid w:val="00784435"/>
    <w:rsid w:val="00784B77"/>
    <w:rsid w:val="007F488D"/>
    <w:rsid w:val="00852223"/>
    <w:rsid w:val="008A1FAB"/>
    <w:rsid w:val="008E5E01"/>
    <w:rsid w:val="00934636"/>
    <w:rsid w:val="009402EB"/>
    <w:rsid w:val="009C7D94"/>
    <w:rsid w:val="009D7466"/>
    <w:rsid w:val="00A1573D"/>
    <w:rsid w:val="00A324E6"/>
    <w:rsid w:val="00A3297C"/>
    <w:rsid w:val="00AF4697"/>
    <w:rsid w:val="00AF75FA"/>
    <w:rsid w:val="00B526B7"/>
    <w:rsid w:val="00BB07A1"/>
    <w:rsid w:val="00BC3C55"/>
    <w:rsid w:val="00BE0D80"/>
    <w:rsid w:val="00C815DD"/>
    <w:rsid w:val="00D1789E"/>
    <w:rsid w:val="00D65541"/>
    <w:rsid w:val="00D77123"/>
    <w:rsid w:val="00D80459"/>
    <w:rsid w:val="00DE4DF6"/>
    <w:rsid w:val="00F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FC5B"/>
  <w15:chartTrackingRefBased/>
  <w15:docId w15:val="{A285F43A-9F05-4326-8D13-3C8FE9A7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4B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4B77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84B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84B77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84B77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84B7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8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8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16685</Words>
  <Characters>9512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Гріцак Костянтин</dc:creator>
  <cp:keywords/>
  <dc:description/>
  <cp:lastModifiedBy>Марина Пригорницкая</cp:lastModifiedBy>
  <cp:revision>2</cp:revision>
  <dcterms:created xsi:type="dcterms:W3CDTF">2020-09-23T12:39:00Z</dcterms:created>
  <dcterms:modified xsi:type="dcterms:W3CDTF">2020-09-23T12:39:00Z</dcterms:modified>
</cp:coreProperties>
</file>