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FA8CE" w14:textId="47EAFD81" w:rsidR="00451AF8" w:rsidRPr="0051313B" w:rsidRDefault="0043565F" w:rsidP="0043565F">
      <w:pPr>
        <w:jc w:val="right"/>
        <w:rPr>
          <w:rFonts w:asciiTheme="minorHAnsi" w:hAnsiTheme="minorHAnsi" w:cstheme="minorHAnsi"/>
          <w:b/>
          <w:bCs/>
          <w:sz w:val="20"/>
          <w:szCs w:val="20"/>
        </w:rPr>
      </w:pPr>
      <w:r w:rsidRPr="0043565F">
        <w:rPr>
          <w:rFonts w:asciiTheme="minorHAnsi" w:hAnsiTheme="minorHAnsi" w:cstheme="minorHAnsi"/>
          <w:b/>
          <w:bCs/>
          <w:sz w:val="20"/>
          <w:szCs w:val="20"/>
          <w:lang w:val="uk-UA"/>
        </w:rPr>
        <w:t xml:space="preserve">Додаток до листа Телекомпалати від 10.08.2020 № </w:t>
      </w:r>
      <w:r w:rsidR="0051313B">
        <w:rPr>
          <w:rFonts w:asciiTheme="minorHAnsi" w:hAnsiTheme="minorHAnsi" w:cstheme="minorHAnsi"/>
          <w:b/>
          <w:bCs/>
          <w:sz w:val="20"/>
          <w:szCs w:val="20"/>
          <w:lang w:val="uk-UA"/>
        </w:rPr>
        <w:t>2486</w:t>
      </w:r>
    </w:p>
    <w:tbl>
      <w:tblPr>
        <w:tblW w:w="0" w:type="auto"/>
        <w:jc w:val="center"/>
        <w:tblLook w:val="04A0" w:firstRow="1" w:lastRow="0" w:firstColumn="1" w:lastColumn="0" w:noHBand="0" w:noVBand="1"/>
      </w:tblPr>
      <w:tblGrid>
        <w:gridCol w:w="4462"/>
        <w:gridCol w:w="5516"/>
        <w:gridCol w:w="3237"/>
        <w:gridCol w:w="1345"/>
      </w:tblGrid>
      <w:tr w:rsidR="00F45374" w:rsidRPr="005C5306" w14:paraId="21950CF6" w14:textId="77777777" w:rsidTr="005C5306">
        <w:trPr>
          <w:trHeight w:val="504"/>
          <w:jc w:val="center"/>
        </w:trPr>
        <w:tc>
          <w:tcPr>
            <w:tcW w:w="0" w:type="auto"/>
            <w:tcBorders>
              <w:top w:val="single" w:sz="4" w:space="0" w:color="auto"/>
              <w:left w:val="single" w:sz="4" w:space="0" w:color="auto"/>
              <w:bottom w:val="single" w:sz="4" w:space="0" w:color="auto"/>
              <w:right w:val="single" w:sz="4" w:space="0" w:color="auto"/>
            </w:tcBorders>
            <w:shd w:val="clear" w:color="000000" w:fill="4472C4"/>
            <w:vAlign w:val="center"/>
            <w:hideMark/>
          </w:tcPr>
          <w:p w14:paraId="18BB9718" w14:textId="77777777" w:rsidR="00451AF8" w:rsidRPr="00451AF8" w:rsidRDefault="00451AF8" w:rsidP="005C5306">
            <w:pPr>
              <w:jc w:val="center"/>
              <w:rPr>
                <w:rFonts w:ascii="Calibri" w:hAnsi="Calibri" w:cs="Calibri"/>
                <w:b/>
                <w:bCs/>
                <w:color w:val="FFFFFF"/>
                <w:sz w:val="20"/>
                <w:lang w:val="uk-UA" w:eastAsia="ru-RU"/>
              </w:rPr>
            </w:pPr>
            <w:r w:rsidRPr="00451AF8">
              <w:rPr>
                <w:rFonts w:ascii="Calibri" w:hAnsi="Calibri" w:cs="Calibri"/>
                <w:b/>
                <w:bCs/>
                <w:color w:val="FFFFFF"/>
                <w:sz w:val="20"/>
                <w:lang w:val="uk-UA" w:eastAsia="ru-RU"/>
              </w:rPr>
              <w:t>Проблема/бар’єр</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6FA0264B" w14:textId="77777777" w:rsidR="00451AF8" w:rsidRPr="00451AF8" w:rsidRDefault="00451AF8" w:rsidP="005C5306">
            <w:pPr>
              <w:jc w:val="center"/>
              <w:rPr>
                <w:rFonts w:ascii="Calibri" w:hAnsi="Calibri" w:cs="Calibri"/>
                <w:b/>
                <w:bCs/>
                <w:color w:val="FFFFFF"/>
                <w:sz w:val="20"/>
                <w:lang w:val="uk-UA" w:eastAsia="ru-RU"/>
              </w:rPr>
            </w:pPr>
            <w:r w:rsidRPr="00451AF8">
              <w:rPr>
                <w:rFonts w:ascii="Calibri" w:hAnsi="Calibri" w:cs="Calibri"/>
                <w:b/>
                <w:bCs/>
                <w:color w:val="FFFFFF"/>
                <w:sz w:val="20"/>
                <w:lang w:val="uk-UA" w:eastAsia="ru-RU"/>
              </w:rPr>
              <w:t>Короткий опис суті проблематики</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6DE9FC63" w14:textId="77777777" w:rsidR="00451AF8" w:rsidRPr="00451AF8" w:rsidRDefault="00451AF8" w:rsidP="005C5306">
            <w:pPr>
              <w:jc w:val="center"/>
              <w:rPr>
                <w:rFonts w:ascii="Calibri" w:hAnsi="Calibri" w:cs="Calibri"/>
                <w:b/>
                <w:bCs/>
                <w:color w:val="FFFFFF"/>
                <w:sz w:val="20"/>
                <w:lang w:val="uk-UA" w:eastAsia="ru-RU"/>
              </w:rPr>
            </w:pPr>
            <w:r w:rsidRPr="00451AF8">
              <w:rPr>
                <w:rFonts w:ascii="Calibri" w:hAnsi="Calibri" w:cs="Calibri"/>
                <w:b/>
                <w:bCs/>
                <w:color w:val="FFFFFF"/>
                <w:sz w:val="20"/>
                <w:lang w:val="uk-UA" w:eastAsia="ru-RU"/>
              </w:rPr>
              <w:t>Рішення/Захід, що вирішить проблему</w:t>
            </w:r>
          </w:p>
        </w:tc>
        <w:tc>
          <w:tcPr>
            <w:tcW w:w="0" w:type="auto"/>
            <w:tcBorders>
              <w:top w:val="single" w:sz="4" w:space="0" w:color="auto"/>
              <w:left w:val="nil"/>
              <w:bottom w:val="single" w:sz="4" w:space="0" w:color="auto"/>
              <w:right w:val="single" w:sz="4" w:space="0" w:color="auto"/>
            </w:tcBorders>
            <w:shd w:val="clear" w:color="000000" w:fill="4472C4"/>
            <w:vAlign w:val="center"/>
            <w:hideMark/>
          </w:tcPr>
          <w:p w14:paraId="44844698" w14:textId="77777777" w:rsidR="00451AF8" w:rsidRPr="00451AF8" w:rsidRDefault="00451AF8" w:rsidP="005C5306">
            <w:pPr>
              <w:jc w:val="center"/>
              <w:rPr>
                <w:rFonts w:ascii="Calibri" w:hAnsi="Calibri" w:cs="Calibri"/>
                <w:b/>
                <w:bCs/>
                <w:color w:val="FFFFFF"/>
                <w:sz w:val="20"/>
                <w:lang w:val="uk-UA" w:eastAsia="ru-RU"/>
              </w:rPr>
            </w:pPr>
            <w:r w:rsidRPr="00451AF8">
              <w:rPr>
                <w:rFonts w:ascii="Calibri" w:hAnsi="Calibri" w:cs="Calibri"/>
                <w:b/>
                <w:bCs/>
                <w:color w:val="FFFFFF"/>
                <w:sz w:val="20"/>
                <w:lang w:val="uk-UA" w:eastAsia="ru-RU"/>
              </w:rPr>
              <w:t>Виконавець (ЦОВВ)</w:t>
            </w:r>
          </w:p>
        </w:tc>
      </w:tr>
      <w:tr w:rsidR="00F45374" w:rsidRPr="005C5306" w14:paraId="79B30266" w14:textId="77777777" w:rsidTr="005C5306">
        <w:trPr>
          <w:trHeight w:val="167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1F07BD" w14:textId="77777777" w:rsidR="00451AF8" w:rsidRPr="003E58C6" w:rsidRDefault="00451AF8" w:rsidP="005C5306">
            <w:pPr>
              <w:jc w:val="both"/>
              <w:rPr>
                <w:rFonts w:asciiTheme="minorHAnsi" w:hAnsiTheme="minorHAnsi" w:cstheme="minorHAnsi"/>
                <w:b/>
                <w:color w:val="000000"/>
                <w:sz w:val="20"/>
                <w:szCs w:val="20"/>
                <w:lang w:val="uk-UA" w:eastAsia="ru-RU"/>
              </w:rPr>
            </w:pPr>
            <w:r w:rsidRPr="003E58C6">
              <w:rPr>
                <w:rFonts w:asciiTheme="minorHAnsi" w:hAnsiTheme="minorHAnsi" w:cstheme="minorHAnsi"/>
                <w:b/>
                <w:color w:val="000000"/>
                <w:sz w:val="20"/>
                <w:szCs w:val="20"/>
                <w:lang w:val="uk-UA" w:eastAsia="ru-RU"/>
              </w:rPr>
              <w:t>Демпінг на ринку телекомунікацій</w:t>
            </w:r>
          </w:p>
        </w:tc>
        <w:tc>
          <w:tcPr>
            <w:tcW w:w="0" w:type="auto"/>
            <w:tcBorders>
              <w:top w:val="nil"/>
              <w:left w:val="nil"/>
              <w:bottom w:val="single" w:sz="4" w:space="0" w:color="auto"/>
              <w:right w:val="single" w:sz="4" w:space="0" w:color="auto"/>
            </w:tcBorders>
            <w:shd w:val="clear" w:color="auto" w:fill="auto"/>
            <w:vAlign w:val="center"/>
            <w:hideMark/>
          </w:tcPr>
          <w:p w14:paraId="3778DDB7" w14:textId="77777777" w:rsidR="00451AF8" w:rsidRPr="003E58C6" w:rsidRDefault="00451AF8" w:rsidP="005C5306">
            <w:pPr>
              <w:jc w:val="both"/>
              <w:rPr>
                <w:rFonts w:asciiTheme="minorHAnsi" w:hAnsiTheme="minorHAnsi" w:cstheme="minorHAnsi"/>
                <w:color w:val="000000"/>
                <w:sz w:val="20"/>
                <w:szCs w:val="20"/>
                <w:lang w:val="uk-UA" w:eastAsia="ru-RU"/>
              </w:rPr>
            </w:pPr>
            <w:r w:rsidRPr="003E58C6">
              <w:rPr>
                <w:rFonts w:asciiTheme="minorHAnsi" w:hAnsiTheme="minorHAnsi" w:cstheme="minorHAnsi"/>
                <w:color w:val="000000"/>
                <w:sz w:val="20"/>
                <w:szCs w:val="20"/>
                <w:lang w:val="uk-UA" w:eastAsia="ru-RU"/>
              </w:rPr>
              <w:t>В ході конкурентної боротьби окремими гравцями на ринку телекомунікацій встановлюється наднизька ціна, яка нижча собівартості послуги. Формальних порушень законодавства про захист економічної конкуренції при цьому не відбувається, але це вкрай негативно відображається на ринку, оскільки стримує входження нових учасників, знижує якість телекомунікаційних послуг.</w:t>
            </w:r>
          </w:p>
        </w:tc>
        <w:tc>
          <w:tcPr>
            <w:tcW w:w="0" w:type="auto"/>
            <w:tcBorders>
              <w:top w:val="nil"/>
              <w:left w:val="nil"/>
              <w:bottom w:val="single" w:sz="4" w:space="0" w:color="auto"/>
              <w:right w:val="single" w:sz="4" w:space="0" w:color="auto"/>
            </w:tcBorders>
            <w:shd w:val="clear" w:color="auto" w:fill="auto"/>
            <w:vAlign w:val="center"/>
            <w:hideMark/>
          </w:tcPr>
          <w:p w14:paraId="32DE794B" w14:textId="77777777" w:rsidR="00451AF8" w:rsidRPr="003E58C6" w:rsidRDefault="00451AF8" w:rsidP="005C5306">
            <w:pPr>
              <w:jc w:val="both"/>
              <w:rPr>
                <w:rFonts w:asciiTheme="minorHAnsi" w:hAnsiTheme="minorHAnsi" w:cstheme="minorHAnsi"/>
                <w:color w:val="000000"/>
                <w:sz w:val="20"/>
                <w:szCs w:val="20"/>
                <w:lang w:val="uk-UA" w:eastAsia="ru-RU"/>
              </w:rPr>
            </w:pPr>
            <w:r w:rsidRPr="003E58C6">
              <w:rPr>
                <w:rFonts w:asciiTheme="minorHAnsi" w:hAnsiTheme="minorHAnsi" w:cstheme="minorHAnsi"/>
                <w:color w:val="000000"/>
                <w:sz w:val="20"/>
                <w:szCs w:val="20"/>
                <w:lang w:val="uk-UA" w:eastAsia="ru-RU"/>
              </w:rPr>
              <w:t>Наділення НКРЗІ на законодавчому рівні повноваженнями встановлювати мінімальні ціни на послугу Інтернет.</w:t>
            </w:r>
          </w:p>
        </w:tc>
        <w:tc>
          <w:tcPr>
            <w:tcW w:w="0" w:type="auto"/>
            <w:tcBorders>
              <w:top w:val="nil"/>
              <w:left w:val="nil"/>
              <w:bottom w:val="single" w:sz="4" w:space="0" w:color="auto"/>
              <w:right w:val="single" w:sz="4" w:space="0" w:color="auto"/>
            </w:tcBorders>
            <w:shd w:val="clear" w:color="auto" w:fill="auto"/>
            <w:vAlign w:val="center"/>
            <w:hideMark/>
          </w:tcPr>
          <w:p w14:paraId="1BDFF47C" w14:textId="77777777" w:rsidR="00451AF8" w:rsidRPr="003E58C6" w:rsidRDefault="00451AF8" w:rsidP="00521A36">
            <w:pPr>
              <w:jc w:val="center"/>
              <w:rPr>
                <w:rFonts w:asciiTheme="minorHAnsi" w:hAnsiTheme="minorHAnsi" w:cstheme="minorHAnsi"/>
                <w:color w:val="000000"/>
                <w:sz w:val="20"/>
                <w:szCs w:val="20"/>
                <w:lang w:val="uk-UA" w:eastAsia="ru-RU"/>
              </w:rPr>
            </w:pPr>
            <w:r w:rsidRPr="003E58C6">
              <w:rPr>
                <w:rFonts w:asciiTheme="minorHAnsi" w:hAnsiTheme="minorHAnsi" w:cstheme="minorHAnsi"/>
                <w:color w:val="000000"/>
                <w:sz w:val="20"/>
                <w:szCs w:val="20"/>
                <w:lang w:val="uk-UA" w:eastAsia="ru-RU"/>
              </w:rPr>
              <w:t>ВРУ</w:t>
            </w:r>
          </w:p>
        </w:tc>
      </w:tr>
      <w:tr w:rsidR="00F45374" w:rsidRPr="005C5306" w14:paraId="52044638" w14:textId="77777777" w:rsidTr="005C5306">
        <w:trPr>
          <w:trHeight w:val="167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6FFC96" w14:textId="77777777" w:rsidR="00451AF8" w:rsidRPr="003E58C6" w:rsidRDefault="00451AF8" w:rsidP="005C5306">
            <w:pPr>
              <w:jc w:val="both"/>
              <w:rPr>
                <w:rFonts w:asciiTheme="minorHAnsi" w:hAnsiTheme="minorHAnsi" w:cstheme="minorHAnsi"/>
                <w:b/>
                <w:color w:val="000000"/>
                <w:sz w:val="20"/>
                <w:szCs w:val="20"/>
                <w:lang w:val="uk-UA" w:eastAsia="ru-RU"/>
              </w:rPr>
            </w:pPr>
            <w:r w:rsidRPr="003E58C6">
              <w:rPr>
                <w:rFonts w:asciiTheme="minorHAnsi" w:hAnsiTheme="minorHAnsi" w:cstheme="minorHAnsi"/>
                <w:b/>
                <w:color w:val="000000"/>
                <w:sz w:val="20"/>
                <w:szCs w:val="20"/>
                <w:lang w:val="uk-UA" w:eastAsia="ru-RU"/>
              </w:rPr>
              <w:t>Різне оподаткування одного і того ж виду діяльності в залежності від суб’єктного складу у сфері телекомунікацій</w:t>
            </w:r>
          </w:p>
        </w:tc>
        <w:tc>
          <w:tcPr>
            <w:tcW w:w="0" w:type="auto"/>
            <w:tcBorders>
              <w:top w:val="nil"/>
              <w:left w:val="nil"/>
              <w:bottom w:val="single" w:sz="4" w:space="0" w:color="auto"/>
              <w:right w:val="single" w:sz="4" w:space="0" w:color="auto"/>
            </w:tcBorders>
            <w:shd w:val="clear" w:color="auto" w:fill="auto"/>
            <w:vAlign w:val="center"/>
            <w:hideMark/>
          </w:tcPr>
          <w:p w14:paraId="5A39F84F" w14:textId="77777777" w:rsidR="00451AF8" w:rsidRPr="003E58C6" w:rsidRDefault="00451AF8" w:rsidP="005C5306">
            <w:pPr>
              <w:jc w:val="both"/>
              <w:rPr>
                <w:rFonts w:asciiTheme="minorHAnsi" w:hAnsiTheme="minorHAnsi" w:cstheme="minorHAnsi"/>
                <w:color w:val="000000"/>
                <w:sz w:val="20"/>
                <w:szCs w:val="20"/>
                <w:lang w:val="uk-UA" w:eastAsia="ru-RU"/>
              </w:rPr>
            </w:pPr>
            <w:r w:rsidRPr="003E58C6">
              <w:rPr>
                <w:rFonts w:asciiTheme="minorHAnsi" w:hAnsiTheme="minorHAnsi" w:cstheme="minorHAnsi"/>
                <w:color w:val="000000"/>
                <w:sz w:val="20"/>
                <w:szCs w:val="20"/>
                <w:lang w:val="uk-UA" w:eastAsia="ru-RU"/>
              </w:rPr>
              <w:t>Легальні учасники ринку телекомунікацій, які надають ідентичні послуги Інтернет та є платниками на загальній системі оподаткування знаходяться у дискримінаційному положенні по відношенню до суб’єктів, що обрали спрощену систему.</w:t>
            </w:r>
          </w:p>
        </w:tc>
        <w:tc>
          <w:tcPr>
            <w:tcW w:w="0" w:type="auto"/>
            <w:tcBorders>
              <w:top w:val="nil"/>
              <w:left w:val="nil"/>
              <w:bottom w:val="single" w:sz="4" w:space="0" w:color="auto"/>
              <w:right w:val="single" w:sz="4" w:space="0" w:color="auto"/>
            </w:tcBorders>
            <w:shd w:val="clear" w:color="auto" w:fill="auto"/>
            <w:vAlign w:val="center"/>
            <w:hideMark/>
          </w:tcPr>
          <w:p w14:paraId="7CF7C52A" w14:textId="3AD7EE58" w:rsidR="00451AF8" w:rsidRPr="003E58C6" w:rsidRDefault="00451AF8" w:rsidP="005C5306">
            <w:pPr>
              <w:jc w:val="both"/>
              <w:rPr>
                <w:rFonts w:asciiTheme="minorHAnsi" w:hAnsiTheme="minorHAnsi" w:cstheme="minorHAnsi"/>
                <w:color w:val="000000"/>
                <w:sz w:val="20"/>
                <w:szCs w:val="20"/>
                <w:lang w:val="uk-UA" w:eastAsia="ru-RU"/>
              </w:rPr>
            </w:pPr>
            <w:r w:rsidRPr="003E58C6">
              <w:rPr>
                <w:rFonts w:asciiTheme="minorHAnsi" w:hAnsiTheme="minorHAnsi" w:cstheme="minorHAnsi"/>
                <w:color w:val="000000"/>
                <w:sz w:val="20"/>
                <w:szCs w:val="20"/>
                <w:lang w:val="uk-UA" w:eastAsia="ru-RU"/>
              </w:rPr>
              <w:t>Скасування спрощеної системи оподаткування у сфері телекомунікацій</w:t>
            </w:r>
            <w:r w:rsidR="0051313B">
              <w:rPr>
                <w:rFonts w:asciiTheme="minorHAnsi" w:hAnsiTheme="minorHAnsi" w:cstheme="minorHAnsi"/>
                <w:color w:val="000000"/>
                <w:sz w:val="20"/>
                <w:szCs w:val="20"/>
                <w:lang w:val="uk-UA"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4853CDA0" w14:textId="77777777" w:rsidR="00451AF8" w:rsidRPr="003E58C6" w:rsidRDefault="00451AF8" w:rsidP="00521A36">
            <w:pPr>
              <w:jc w:val="center"/>
              <w:rPr>
                <w:rFonts w:asciiTheme="minorHAnsi" w:hAnsiTheme="minorHAnsi" w:cstheme="minorHAnsi"/>
                <w:color w:val="000000"/>
                <w:sz w:val="20"/>
                <w:szCs w:val="20"/>
                <w:lang w:val="uk-UA" w:eastAsia="ru-RU"/>
              </w:rPr>
            </w:pPr>
            <w:r w:rsidRPr="003E58C6">
              <w:rPr>
                <w:rFonts w:asciiTheme="minorHAnsi" w:hAnsiTheme="minorHAnsi" w:cstheme="minorHAnsi"/>
                <w:color w:val="000000"/>
                <w:sz w:val="20"/>
                <w:szCs w:val="20"/>
                <w:lang w:val="uk-UA" w:eastAsia="ru-RU"/>
              </w:rPr>
              <w:t>Мінфін</w:t>
            </w:r>
          </w:p>
        </w:tc>
      </w:tr>
      <w:tr w:rsidR="00F45374" w:rsidRPr="005C5306" w14:paraId="06CB1419" w14:textId="77777777" w:rsidTr="005C5306">
        <w:trPr>
          <w:trHeight w:val="167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06BD0C" w14:textId="77777777" w:rsidR="00451AF8" w:rsidRPr="003E58C6" w:rsidRDefault="00451AF8" w:rsidP="005C5306">
            <w:pPr>
              <w:jc w:val="both"/>
              <w:rPr>
                <w:rFonts w:asciiTheme="minorHAnsi" w:hAnsiTheme="minorHAnsi" w:cstheme="minorHAnsi"/>
                <w:b/>
                <w:color w:val="000000"/>
                <w:sz w:val="20"/>
                <w:szCs w:val="20"/>
                <w:lang w:val="uk-UA" w:eastAsia="ru-RU"/>
              </w:rPr>
            </w:pPr>
            <w:r w:rsidRPr="003E58C6">
              <w:rPr>
                <w:rFonts w:asciiTheme="minorHAnsi" w:hAnsiTheme="minorHAnsi" w:cstheme="minorHAnsi"/>
                <w:b/>
                <w:color w:val="000000"/>
                <w:sz w:val="20"/>
                <w:szCs w:val="20"/>
                <w:lang w:val="uk-UA" w:eastAsia="ru-RU"/>
              </w:rPr>
              <w:t>Дискримінація вітчизняних провайдерів платного телебачення</w:t>
            </w:r>
          </w:p>
        </w:tc>
        <w:tc>
          <w:tcPr>
            <w:tcW w:w="0" w:type="auto"/>
            <w:tcBorders>
              <w:top w:val="nil"/>
              <w:left w:val="nil"/>
              <w:bottom w:val="single" w:sz="4" w:space="0" w:color="auto"/>
              <w:right w:val="single" w:sz="4" w:space="0" w:color="auto"/>
            </w:tcBorders>
            <w:shd w:val="clear" w:color="auto" w:fill="auto"/>
            <w:vAlign w:val="center"/>
            <w:hideMark/>
          </w:tcPr>
          <w:p w14:paraId="628F1BA5" w14:textId="61D158DA" w:rsidR="00451AF8" w:rsidRPr="003E58C6" w:rsidRDefault="00451AF8" w:rsidP="005C5306">
            <w:pPr>
              <w:jc w:val="both"/>
              <w:rPr>
                <w:rFonts w:asciiTheme="minorHAnsi" w:hAnsiTheme="minorHAnsi" w:cstheme="minorHAnsi"/>
                <w:color w:val="000000"/>
                <w:sz w:val="20"/>
                <w:szCs w:val="20"/>
                <w:lang w:val="uk-UA" w:eastAsia="ru-RU"/>
              </w:rPr>
            </w:pPr>
            <w:r w:rsidRPr="003E58C6">
              <w:rPr>
                <w:rFonts w:asciiTheme="minorHAnsi" w:hAnsiTheme="minorHAnsi" w:cstheme="minorHAnsi"/>
                <w:color w:val="000000"/>
                <w:sz w:val="20"/>
                <w:szCs w:val="20"/>
                <w:lang w:val="uk-UA" w:eastAsia="ru-RU"/>
              </w:rPr>
              <w:t>В Україні вільно розповсюджуються зарубіжні сервіси, що надають послуги доступу до контенту (наприклад, Нетфлікс), при цьому податки в Україні ними не сплачуються та не мають регуляторних зобов’язань</w:t>
            </w:r>
            <w:r w:rsidR="0051313B">
              <w:rPr>
                <w:rFonts w:asciiTheme="minorHAnsi" w:hAnsiTheme="minorHAnsi" w:cstheme="minorHAnsi"/>
                <w:color w:val="000000"/>
                <w:sz w:val="20"/>
                <w:szCs w:val="20"/>
                <w:lang w:val="uk-UA" w:eastAsia="ru-RU"/>
              </w:rPr>
              <w:t>,</w:t>
            </w:r>
            <w:r w:rsidRPr="003E58C6">
              <w:rPr>
                <w:rFonts w:asciiTheme="minorHAnsi" w:hAnsiTheme="minorHAnsi" w:cstheme="minorHAnsi"/>
                <w:color w:val="000000"/>
                <w:sz w:val="20"/>
                <w:szCs w:val="20"/>
                <w:lang w:val="uk-UA" w:eastAsia="ru-RU"/>
              </w:rPr>
              <w:t xml:space="preserve"> які мають вітчизняні медіа. Таке регулювання є дискримінаційним по відношенню до вітчизняних</w:t>
            </w:r>
            <w:r w:rsidR="0051313B">
              <w:rPr>
                <w:rFonts w:asciiTheme="minorHAnsi" w:hAnsiTheme="minorHAnsi" w:cstheme="minorHAnsi"/>
                <w:color w:val="000000"/>
                <w:sz w:val="20"/>
                <w:szCs w:val="20"/>
                <w:lang w:val="uk-UA" w:eastAsia="ru-RU"/>
              </w:rPr>
              <w:t xml:space="preserve"> медіа</w:t>
            </w:r>
            <w:r w:rsidRPr="003E58C6">
              <w:rPr>
                <w:rFonts w:asciiTheme="minorHAnsi" w:hAnsiTheme="minorHAnsi" w:cstheme="minorHAnsi"/>
                <w:color w:val="000000"/>
                <w:sz w:val="20"/>
                <w:szCs w:val="20"/>
                <w:lang w:val="uk-UA"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2724822D" w14:textId="02BA2988" w:rsidR="00451AF8" w:rsidRPr="003E58C6" w:rsidRDefault="0051313B" w:rsidP="005C5306">
            <w:pPr>
              <w:jc w:val="both"/>
              <w:rPr>
                <w:rFonts w:asciiTheme="minorHAnsi" w:hAnsiTheme="minorHAnsi" w:cstheme="minorHAnsi"/>
                <w:color w:val="000000"/>
                <w:sz w:val="20"/>
                <w:szCs w:val="20"/>
                <w:lang w:val="uk-UA" w:eastAsia="ru-RU"/>
              </w:rPr>
            </w:pPr>
            <w:hyperlink r:id="rId5" w:history="1">
              <w:r w:rsidR="00451AF8" w:rsidRPr="003E58C6">
                <w:rPr>
                  <w:rFonts w:asciiTheme="minorHAnsi" w:hAnsiTheme="minorHAnsi" w:cstheme="minorHAnsi"/>
                  <w:color w:val="000000"/>
                  <w:sz w:val="20"/>
                  <w:szCs w:val="20"/>
                  <w:lang w:val="uk-UA" w:eastAsia="ru-RU"/>
                </w:rPr>
                <w:t>Внесення змін до Податкового кодексу. Прийняття закону 2634</w:t>
              </w:r>
              <w:r>
                <w:rPr>
                  <w:rFonts w:asciiTheme="minorHAnsi" w:hAnsiTheme="minorHAnsi" w:cstheme="minorHAnsi"/>
                  <w:color w:val="000000"/>
                  <w:sz w:val="20"/>
                  <w:szCs w:val="20"/>
                  <w:lang w:val="uk-UA" w:eastAsia="ru-RU"/>
                </w:rPr>
                <w:t>.</w:t>
              </w:r>
              <w:r w:rsidR="00451AF8" w:rsidRPr="003E58C6">
                <w:rPr>
                  <w:rFonts w:asciiTheme="minorHAnsi" w:hAnsiTheme="minorHAnsi" w:cstheme="minorHAnsi"/>
                  <w:color w:val="000000"/>
                  <w:sz w:val="20"/>
                  <w:szCs w:val="20"/>
                  <w:lang w:val="uk-UA" w:eastAsia="ru-RU"/>
                </w:rPr>
                <w:t xml:space="preserve"> </w:t>
              </w:r>
            </w:hyperlink>
          </w:p>
        </w:tc>
        <w:tc>
          <w:tcPr>
            <w:tcW w:w="0" w:type="auto"/>
            <w:tcBorders>
              <w:top w:val="nil"/>
              <w:left w:val="nil"/>
              <w:bottom w:val="single" w:sz="4" w:space="0" w:color="auto"/>
              <w:right w:val="single" w:sz="4" w:space="0" w:color="auto"/>
            </w:tcBorders>
            <w:shd w:val="clear" w:color="auto" w:fill="auto"/>
            <w:vAlign w:val="center"/>
            <w:hideMark/>
          </w:tcPr>
          <w:p w14:paraId="3EA2CE24" w14:textId="77777777" w:rsidR="00451AF8" w:rsidRPr="003E58C6" w:rsidRDefault="00451AF8" w:rsidP="00521A36">
            <w:pPr>
              <w:jc w:val="center"/>
              <w:rPr>
                <w:rFonts w:asciiTheme="minorHAnsi" w:hAnsiTheme="minorHAnsi" w:cstheme="minorHAnsi"/>
                <w:color w:val="000000"/>
                <w:sz w:val="20"/>
                <w:szCs w:val="20"/>
                <w:lang w:val="uk-UA" w:eastAsia="ru-RU"/>
              </w:rPr>
            </w:pPr>
            <w:r w:rsidRPr="003E58C6">
              <w:rPr>
                <w:rFonts w:asciiTheme="minorHAnsi" w:hAnsiTheme="minorHAnsi" w:cstheme="minorHAnsi"/>
                <w:color w:val="000000"/>
                <w:sz w:val="20"/>
                <w:szCs w:val="20"/>
                <w:lang w:val="uk-UA" w:eastAsia="ru-RU"/>
              </w:rPr>
              <w:t>Мінфін</w:t>
            </w:r>
          </w:p>
        </w:tc>
      </w:tr>
      <w:tr w:rsidR="00F45374" w:rsidRPr="005C5306" w14:paraId="11100698" w14:textId="77777777" w:rsidTr="005C5306">
        <w:trPr>
          <w:trHeight w:val="167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CEAE77" w14:textId="77777777" w:rsidR="00451AF8" w:rsidRPr="003E58C6" w:rsidRDefault="00451AF8" w:rsidP="005C5306">
            <w:pPr>
              <w:jc w:val="both"/>
              <w:rPr>
                <w:rFonts w:asciiTheme="minorHAnsi" w:hAnsiTheme="minorHAnsi" w:cstheme="minorHAnsi"/>
                <w:b/>
                <w:color w:val="000000"/>
                <w:sz w:val="20"/>
                <w:szCs w:val="20"/>
                <w:lang w:val="uk-UA" w:eastAsia="ru-RU"/>
              </w:rPr>
            </w:pPr>
            <w:r w:rsidRPr="003E58C6">
              <w:rPr>
                <w:rFonts w:asciiTheme="minorHAnsi" w:hAnsiTheme="minorHAnsi" w:cstheme="minorHAnsi"/>
                <w:b/>
                <w:color w:val="000000"/>
                <w:sz w:val="20"/>
                <w:szCs w:val="20"/>
                <w:lang w:val="uk-UA" w:eastAsia="ru-RU"/>
              </w:rPr>
              <w:t>Надмірне оподаткування операцій зі сплати роялті в організації колективного управленні</w:t>
            </w:r>
          </w:p>
        </w:tc>
        <w:tc>
          <w:tcPr>
            <w:tcW w:w="0" w:type="auto"/>
            <w:tcBorders>
              <w:top w:val="nil"/>
              <w:left w:val="nil"/>
              <w:bottom w:val="single" w:sz="4" w:space="0" w:color="auto"/>
              <w:right w:val="single" w:sz="4" w:space="0" w:color="auto"/>
            </w:tcBorders>
            <w:shd w:val="clear" w:color="auto" w:fill="auto"/>
            <w:vAlign w:val="center"/>
            <w:hideMark/>
          </w:tcPr>
          <w:p w14:paraId="0F07EB97" w14:textId="374A8C65" w:rsidR="00451AF8" w:rsidRPr="003E58C6" w:rsidRDefault="00451AF8" w:rsidP="005C5306">
            <w:pPr>
              <w:jc w:val="both"/>
              <w:rPr>
                <w:rFonts w:asciiTheme="minorHAnsi" w:hAnsiTheme="minorHAnsi" w:cstheme="minorHAnsi"/>
                <w:color w:val="000000"/>
                <w:sz w:val="20"/>
                <w:szCs w:val="20"/>
                <w:lang w:val="uk-UA" w:eastAsia="ru-RU"/>
              </w:rPr>
            </w:pPr>
            <w:r w:rsidRPr="003E58C6">
              <w:rPr>
                <w:rFonts w:asciiTheme="minorHAnsi" w:hAnsiTheme="minorHAnsi" w:cstheme="minorHAnsi"/>
                <w:color w:val="000000"/>
                <w:sz w:val="20"/>
                <w:szCs w:val="20"/>
                <w:lang w:val="uk-UA" w:eastAsia="ru-RU"/>
              </w:rPr>
              <w:t>В зв’язку з неприбутковим статусом організацій колективного управління, платники податків, які є користувачами об’єктів прав інтелектуальної власності</w:t>
            </w:r>
            <w:r w:rsidR="0051313B">
              <w:rPr>
                <w:rFonts w:asciiTheme="minorHAnsi" w:hAnsiTheme="minorHAnsi" w:cstheme="minorHAnsi"/>
                <w:color w:val="000000"/>
                <w:sz w:val="20"/>
                <w:szCs w:val="20"/>
                <w:lang w:val="uk-UA" w:eastAsia="ru-RU"/>
              </w:rPr>
              <w:t>,</w:t>
            </w:r>
            <w:r w:rsidRPr="003E58C6">
              <w:rPr>
                <w:rFonts w:asciiTheme="minorHAnsi" w:hAnsiTheme="minorHAnsi" w:cstheme="minorHAnsi"/>
                <w:color w:val="000000"/>
                <w:sz w:val="20"/>
                <w:szCs w:val="20"/>
                <w:lang w:val="uk-UA" w:eastAsia="ru-RU"/>
              </w:rPr>
              <w:t xml:space="preserve"> мають коригувати фінансовий результат від таких операцій, що призводить до збільшення податку на прибуток.</w:t>
            </w:r>
          </w:p>
        </w:tc>
        <w:tc>
          <w:tcPr>
            <w:tcW w:w="0" w:type="auto"/>
            <w:tcBorders>
              <w:top w:val="nil"/>
              <w:left w:val="nil"/>
              <w:bottom w:val="single" w:sz="4" w:space="0" w:color="auto"/>
              <w:right w:val="single" w:sz="4" w:space="0" w:color="auto"/>
            </w:tcBorders>
            <w:shd w:val="clear" w:color="auto" w:fill="auto"/>
            <w:vAlign w:val="center"/>
            <w:hideMark/>
          </w:tcPr>
          <w:p w14:paraId="3DE5C9F6" w14:textId="77777777" w:rsidR="00451AF8" w:rsidRPr="003E58C6" w:rsidRDefault="00451AF8" w:rsidP="005C5306">
            <w:pPr>
              <w:jc w:val="both"/>
              <w:rPr>
                <w:rFonts w:asciiTheme="minorHAnsi" w:hAnsiTheme="minorHAnsi" w:cstheme="minorHAnsi"/>
                <w:color w:val="000000"/>
                <w:sz w:val="20"/>
                <w:szCs w:val="20"/>
                <w:lang w:val="uk-UA" w:eastAsia="ru-RU"/>
              </w:rPr>
            </w:pPr>
            <w:r w:rsidRPr="003E58C6">
              <w:rPr>
                <w:rFonts w:asciiTheme="minorHAnsi" w:hAnsiTheme="minorHAnsi" w:cstheme="minorHAnsi"/>
                <w:color w:val="000000"/>
                <w:sz w:val="20"/>
                <w:szCs w:val="20"/>
                <w:lang w:val="uk-UA" w:eastAsia="ru-RU"/>
              </w:rPr>
              <w:t>Внесення змін до Податкового кодексу, розповсюдивши виключення також на випадок сплати на корить організацій колективного управління.</w:t>
            </w:r>
          </w:p>
        </w:tc>
        <w:tc>
          <w:tcPr>
            <w:tcW w:w="0" w:type="auto"/>
            <w:tcBorders>
              <w:top w:val="nil"/>
              <w:left w:val="nil"/>
              <w:bottom w:val="single" w:sz="4" w:space="0" w:color="auto"/>
              <w:right w:val="single" w:sz="4" w:space="0" w:color="auto"/>
            </w:tcBorders>
            <w:shd w:val="clear" w:color="auto" w:fill="auto"/>
            <w:vAlign w:val="center"/>
            <w:hideMark/>
          </w:tcPr>
          <w:p w14:paraId="3381AE7F" w14:textId="77777777" w:rsidR="00451AF8" w:rsidRPr="003E58C6" w:rsidRDefault="00451AF8" w:rsidP="00521A36">
            <w:pPr>
              <w:jc w:val="center"/>
              <w:rPr>
                <w:rFonts w:asciiTheme="minorHAnsi" w:hAnsiTheme="minorHAnsi" w:cstheme="minorHAnsi"/>
                <w:color w:val="000000"/>
                <w:sz w:val="20"/>
                <w:szCs w:val="20"/>
                <w:lang w:val="uk-UA" w:eastAsia="ru-RU"/>
              </w:rPr>
            </w:pPr>
            <w:r w:rsidRPr="003E58C6">
              <w:rPr>
                <w:rFonts w:asciiTheme="minorHAnsi" w:hAnsiTheme="minorHAnsi" w:cstheme="minorHAnsi"/>
                <w:color w:val="000000"/>
                <w:sz w:val="20"/>
                <w:szCs w:val="20"/>
                <w:lang w:val="uk-UA" w:eastAsia="ru-RU"/>
              </w:rPr>
              <w:t>Мінфін</w:t>
            </w:r>
            <w:r w:rsidRPr="003E58C6">
              <w:rPr>
                <w:rFonts w:asciiTheme="minorHAnsi" w:hAnsiTheme="minorHAnsi" w:cstheme="minorHAnsi"/>
                <w:color w:val="000000"/>
                <w:sz w:val="20"/>
                <w:szCs w:val="20"/>
                <w:lang w:val="uk-UA" w:eastAsia="ru-RU"/>
              </w:rPr>
              <w:br/>
              <w:t>МЕРТ</w:t>
            </w:r>
          </w:p>
        </w:tc>
      </w:tr>
      <w:tr w:rsidR="00F45374" w:rsidRPr="005C5306" w14:paraId="241D1D28" w14:textId="77777777" w:rsidTr="005C5306">
        <w:trPr>
          <w:trHeight w:val="167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D9C17F" w14:textId="77777777" w:rsidR="00451AF8" w:rsidRPr="003E58C6" w:rsidRDefault="00451AF8" w:rsidP="005C5306">
            <w:pPr>
              <w:jc w:val="both"/>
              <w:rPr>
                <w:rFonts w:asciiTheme="minorHAnsi" w:hAnsiTheme="minorHAnsi" w:cstheme="minorHAnsi"/>
                <w:b/>
                <w:color w:val="000000"/>
                <w:sz w:val="20"/>
                <w:szCs w:val="20"/>
                <w:lang w:val="uk-UA" w:eastAsia="ru-RU"/>
              </w:rPr>
            </w:pPr>
            <w:r w:rsidRPr="003E58C6">
              <w:rPr>
                <w:rFonts w:asciiTheme="minorHAnsi" w:hAnsiTheme="minorHAnsi" w:cstheme="minorHAnsi"/>
                <w:b/>
                <w:color w:val="000000"/>
                <w:sz w:val="20"/>
                <w:szCs w:val="20"/>
                <w:lang w:val="uk-UA" w:eastAsia="ru-RU"/>
              </w:rPr>
              <w:t>Статус бенефіціара при здійсненні платежів на нерезидентів</w:t>
            </w:r>
          </w:p>
        </w:tc>
        <w:tc>
          <w:tcPr>
            <w:tcW w:w="0" w:type="auto"/>
            <w:tcBorders>
              <w:top w:val="nil"/>
              <w:left w:val="nil"/>
              <w:bottom w:val="single" w:sz="4" w:space="0" w:color="auto"/>
              <w:right w:val="single" w:sz="4" w:space="0" w:color="auto"/>
            </w:tcBorders>
            <w:shd w:val="clear" w:color="auto" w:fill="auto"/>
            <w:vAlign w:val="center"/>
            <w:hideMark/>
          </w:tcPr>
          <w:p w14:paraId="72E0FB87" w14:textId="41F8D96E" w:rsidR="00451AF8" w:rsidRPr="003E58C6" w:rsidRDefault="00451AF8" w:rsidP="005C5306">
            <w:pPr>
              <w:jc w:val="both"/>
              <w:rPr>
                <w:rFonts w:asciiTheme="minorHAnsi" w:hAnsiTheme="minorHAnsi" w:cstheme="minorHAnsi"/>
                <w:color w:val="000000"/>
                <w:sz w:val="20"/>
                <w:szCs w:val="20"/>
                <w:lang w:val="uk-UA" w:eastAsia="ru-RU"/>
              </w:rPr>
            </w:pPr>
            <w:r w:rsidRPr="003E58C6">
              <w:rPr>
                <w:rFonts w:asciiTheme="minorHAnsi" w:hAnsiTheme="minorHAnsi" w:cstheme="minorHAnsi"/>
                <w:color w:val="000000"/>
                <w:sz w:val="20"/>
                <w:szCs w:val="20"/>
                <w:lang w:val="uk-UA" w:eastAsia="ru-RU"/>
              </w:rPr>
              <w:t>при здійсненні оплат нерезидентам за субліцензійними договорами потребує уточнення статусу бенефіціарного (фактичного) власника отримувача такого доходу, що впливає на  систему оподаткування платника податків, зокрема умов нарахування та сплати податку на репатріацію</w:t>
            </w:r>
            <w:r w:rsidR="0051313B">
              <w:rPr>
                <w:rFonts w:asciiTheme="minorHAnsi" w:hAnsiTheme="minorHAnsi" w:cstheme="minorHAnsi"/>
                <w:color w:val="000000"/>
                <w:sz w:val="20"/>
                <w:szCs w:val="20"/>
                <w:lang w:val="uk-UA"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3C1E5471" w14:textId="77777777" w:rsidR="00451AF8" w:rsidRPr="003E58C6" w:rsidRDefault="00451AF8" w:rsidP="005C5306">
            <w:pPr>
              <w:jc w:val="both"/>
              <w:rPr>
                <w:rFonts w:asciiTheme="minorHAnsi" w:hAnsiTheme="minorHAnsi" w:cstheme="minorHAnsi"/>
                <w:color w:val="000000"/>
                <w:sz w:val="20"/>
                <w:szCs w:val="20"/>
                <w:lang w:val="uk-UA" w:eastAsia="ru-RU"/>
              </w:rPr>
            </w:pPr>
            <w:r w:rsidRPr="003E58C6">
              <w:rPr>
                <w:rFonts w:asciiTheme="minorHAnsi" w:hAnsiTheme="minorHAnsi" w:cstheme="minorHAnsi"/>
                <w:color w:val="000000"/>
                <w:sz w:val="20"/>
                <w:szCs w:val="20"/>
                <w:lang w:val="uk-UA" w:eastAsia="ru-RU"/>
              </w:rPr>
              <w:t>Внесення змін до Податкового кодексу.</w:t>
            </w:r>
          </w:p>
        </w:tc>
        <w:tc>
          <w:tcPr>
            <w:tcW w:w="0" w:type="auto"/>
            <w:tcBorders>
              <w:top w:val="nil"/>
              <w:left w:val="nil"/>
              <w:bottom w:val="single" w:sz="4" w:space="0" w:color="auto"/>
              <w:right w:val="single" w:sz="4" w:space="0" w:color="auto"/>
            </w:tcBorders>
            <w:shd w:val="clear" w:color="auto" w:fill="auto"/>
            <w:vAlign w:val="center"/>
            <w:hideMark/>
          </w:tcPr>
          <w:p w14:paraId="729A4A31" w14:textId="77777777" w:rsidR="00451AF8" w:rsidRPr="003E58C6" w:rsidRDefault="00451AF8" w:rsidP="00521A36">
            <w:pPr>
              <w:jc w:val="center"/>
              <w:rPr>
                <w:rFonts w:asciiTheme="minorHAnsi" w:hAnsiTheme="minorHAnsi" w:cstheme="minorHAnsi"/>
                <w:color w:val="000000"/>
                <w:sz w:val="20"/>
                <w:szCs w:val="20"/>
                <w:lang w:val="uk-UA" w:eastAsia="ru-RU"/>
              </w:rPr>
            </w:pPr>
            <w:r w:rsidRPr="003E58C6">
              <w:rPr>
                <w:rFonts w:asciiTheme="minorHAnsi" w:hAnsiTheme="minorHAnsi" w:cstheme="minorHAnsi"/>
                <w:color w:val="000000"/>
                <w:sz w:val="20"/>
                <w:szCs w:val="20"/>
                <w:lang w:val="uk-UA" w:eastAsia="ru-RU"/>
              </w:rPr>
              <w:t>Мінфін</w:t>
            </w:r>
          </w:p>
        </w:tc>
      </w:tr>
      <w:tr w:rsidR="00F45374" w:rsidRPr="005C5306" w14:paraId="61AE8C0A" w14:textId="77777777" w:rsidTr="005C5306">
        <w:trPr>
          <w:trHeight w:val="167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4C03355A" w14:textId="181CD9F2" w:rsidR="000009A3" w:rsidRPr="003E58C6" w:rsidRDefault="007D5B21" w:rsidP="005C5306">
            <w:pPr>
              <w:jc w:val="both"/>
              <w:rPr>
                <w:rFonts w:asciiTheme="minorHAnsi" w:hAnsiTheme="minorHAnsi" w:cstheme="minorHAnsi"/>
                <w:b/>
                <w:color w:val="000000"/>
                <w:sz w:val="20"/>
                <w:szCs w:val="20"/>
                <w:lang w:val="uk-UA" w:eastAsia="ru-RU"/>
              </w:rPr>
            </w:pPr>
            <w:r w:rsidRPr="003E58C6">
              <w:rPr>
                <w:rFonts w:asciiTheme="minorHAnsi" w:hAnsiTheme="minorHAnsi" w:cstheme="minorHAnsi"/>
                <w:b/>
                <w:color w:val="000000"/>
                <w:sz w:val="20"/>
                <w:szCs w:val="20"/>
                <w:lang w:val="uk-UA" w:eastAsia="ru-RU"/>
              </w:rPr>
              <w:lastRenderedPageBreak/>
              <w:t>Змінено умови користування радіочастотним ресурсом за вже виданими ліцензіями, що взагалі ставить під сумніви принципи верховенства права в Україні, які є настільки критичними для залучення подальших іноземних інвестицій в нашу країну</w:t>
            </w:r>
          </w:p>
        </w:tc>
        <w:tc>
          <w:tcPr>
            <w:tcW w:w="0" w:type="auto"/>
            <w:tcBorders>
              <w:top w:val="nil"/>
              <w:left w:val="nil"/>
              <w:bottom w:val="single" w:sz="4" w:space="0" w:color="auto"/>
              <w:right w:val="single" w:sz="4" w:space="0" w:color="auto"/>
            </w:tcBorders>
            <w:shd w:val="clear" w:color="auto" w:fill="auto"/>
            <w:vAlign w:val="center"/>
          </w:tcPr>
          <w:p w14:paraId="6FEB36DF" w14:textId="2A68B6FC" w:rsidR="000009A3" w:rsidRPr="0051313B" w:rsidRDefault="000009A3" w:rsidP="005C5306">
            <w:pPr>
              <w:jc w:val="both"/>
              <w:rPr>
                <w:rFonts w:asciiTheme="minorHAnsi" w:hAnsiTheme="minorHAnsi" w:cstheme="minorHAnsi"/>
                <w:i/>
                <w:iCs/>
                <w:color w:val="000000" w:themeColor="text1"/>
                <w:sz w:val="20"/>
                <w:szCs w:val="20"/>
                <w:shd w:val="clear" w:color="auto" w:fill="FFFFFF"/>
                <w:lang w:val="uk-UA"/>
              </w:rPr>
            </w:pPr>
            <w:r w:rsidRPr="0051313B">
              <w:rPr>
                <w:rFonts w:asciiTheme="minorHAnsi" w:hAnsiTheme="minorHAnsi" w:cstheme="minorHAnsi"/>
                <w:i/>
                <w:iCs/>
                <w:color w:val="000000" w:themeColor="text1"/>
                <w:sz w:val="20"/>
                <w:szCs w:val="20"/>
                <w:shd w:val="clear" w:color="auto" w:fill="FFFFFF"/>
                <w:lang w:val="uk-UA"/>
              </w:rPr>
              <w:t>ПП. 4.1.8 пункту 4.1 глави 4</w:t>
            </w:r>
            <w:r w:rsidR="007D5B21" w:rsidRPr="0051313B">
              <w:rPr>
                <w:rFonts w:asciiTheme="minorHAnsi" w:hAnsiTheme="minorHAnsi" w:cstheme="minorHAnsi"/>
                <w:i/>
                <w:iCs/>
                <w:color w:val="000000" w:themeColor="text1"/>
                <w:sz w:val="20"/>
                <w:szCs w:val="20"/>
                <w:shd w:val="clear" w:color="auto" w:fill="FFFFFF"/>
                <w:lang w:val="uk-UA"/>
              </w:rPr>
              <w:t xml:space="preserve"> Ліцензійних умов </w:t>
            </w:r>
          </w:p>
          <w:p w14:paraId="0029066F" w14:textId="56C80C12" w:rsidR="000009A3" w:rsidRPr="0051313B" w:rsidRDefault="007D5B21" w:rsidP="005C5306">
            <w:pPr>
              <w:jc w:val="both"/>
              <w:rPr>
                <w:rFonts w:asciiTheme="minorHAnsi" w:hAnsiTheme="minorHAnsi" w:cstheme="minorHAnsi"/>
                <w:color w:val="000000" w:themeColor="text1"/>
                <w:sz w:val="20"/>
                <w:szCs w:val="20"/>
                <w:shd w:val="clear" w:color="auto" w:fill="FFFFFF"/>
                <w:lang w:val="uk-UA"/>
              </w:rPr>
            </w:pPr>
            <w:r w:rsidRPr="0051313B">
              <w:rPr>
                <w:rFonts w:asciiTheme="minorHAnsi" w:hAnsiTheme="minorHAnsi" w:cstheme="minorHAnsi"/>
                <w:color w:val="000000" w:themeColor="text1"/>
                <w:sz w:val="20"/>
                <w:szCs w:val="20"/>
                <w:shd w:val="clear" w:color="auto" w:fill="FFFFFF"/>
                <w:lang w:val="uk-UA"/>
              </w:rPr>
              <w:t>«</w:t>
            </w:r>
            <w:r w:rsidR="000009A3" w:rsidRPr="0051313B">
              <w:rPr>
                <w:rFonts w:asciiTheme="minorHAnsi" w:hAnsiTheme="minorHAnsi" w:cstheme="minorHAnsi"/>
                <w:color w:val="000000" w:themeColor="text1"/>
                <w:sz w:val="20"/>
                <w:szCs w:val="20"/>
                <w:shd w:val="clear" w:color="auto" w:fill="FFFFFF"/>
                <w:lang w:val="uk-UA"/>
              </w:rPr>
              <w:t>Повним освоєнням радіочастотного ресурсу за ліцензією, яка надає права виключного користування номіналами, смугами радіочастот, є наявність у ліцензіата не менше одного дозволу на експлуатацію РЕЗ з користуванням певною частиною смуги радіочастот, визначеної в ліцензії для цього регіону, на кожні</w:t>
            </w:r>
            <w:r w:rsidR="000009A3" w:rsidRPr="0051313B">
              <w:rPr>
                <w:rFonts w:asciiTheme="minorHAnsi" w:hAnsiTheme="minorHAnsi" w:cstheme="minorHAnsi"/>
                <w:color w:val="000000" w:themeColor="text1"/>
                <w:sz w:val="20"/>
                <w:szCs w:val="20"/>
                <w:shd w:val="clear" w:color="auto" w:fill="FFFFFF"/>
              </w:rPr>
              <w:t> </w:t>
            </w:r>
            <w:bookmarkStart w:id="0" w:name="w1_1"/>
            <w:r w:rsidR="000009A3" w:rsidRPr="0051313B">
              <w:rPr>
                <w:rFonts w:asciiTheme="minorHAnsi" w:hAnsiTheme="minorHAnsi" w:cstheme="minorHAnsi"/>
                <w:color w:val="000000" w:themeColor="text1"/>
                <w:sz w:val="20"/>
                <w:szCs w:val="20"/>
              </w:rPr>
              <w:fldChar w:fldCharType="begin"/>
            </w:r>
            <w:r w:rsidR="000009A3" w:rsidRPr="0051313B">
              <w:rPr>
                <w:rFonts w:asciiTheme="minorHAnsi" w:hAnsiTheme="minorHAnsi" w:cstheme="minorHAnsi"/>
                <w:color w:val="000000" w:themeColor="text1"/>
                <w:sz w:val="20"/>
                <w:szCs w:val="20"/>
                <w:lang w:val="uk-UA"/>
              </w:rPr>
              <w:instrText xml:space="preserve"> </w:instrText>
            </w:r>
            <w:r w:rsidR="000009A3" w:rsidRPr="0051313B">
              <w:rPr>
                <w:rFonts w:asciiTheme="minorHAnsi" w:hAnsiTheme="minorHAnsi" w:cstheme="minorHAnsi"/>
                <w:color w:val="000000" w:themeColor="text1"/>
                <w:sz w:val="20"/>
                <w:szCs w:val="20"/>
              </w:rPr>
              <w:instrText>HYPERLINK</w:instrText>
            </w:r>
            <w:r w:rsidR="000009A3" w:rsidRPr="0051313B">
              <w:rPr>
                <w:rFonts w:asciiTheme="minorHAnsi" w:hAnsiTheme="minorHAnsi" w:cstheme="minorHAnsi"/>
                <w:color w:val="000000" w:themeColor="text1"/>
                <w:sz w:val="20"/>
                <w:szCs w:val="20"/>
                <w:lang w:val="uk-UA"/>
              </w:rPr>
              <w:instrText xml:space="preserve"> "</w:instrText>
            </w:r>
            <w:r w:rsidR="000009A3" w:rsidRPr="0051313B">
              <w:rPr>
                <w:rFonts w:asciiTheme="minorHAnsi" w:hAnsiTheme="minorHAnsi" w:cstheme="minorHAnsi"/>
                <w:color w:val="000000" w:themeColor="text1"/>
                <w:sz w:val="20"/>
                <w:szCs w:val="20"/>
              </w:rPr>
              <w:instrText>https</w:instrText>
            </w:r>
            <w:r w:rsidR="000009A3" w:rsidRPr="0051313B">
              <w:rPr>
                <w:rFonts w:asciiTheme="minorHAnsi" w:hAnsiTheme="minorHAnsi" w:cstheme="minorHAnsi"/>
                <w:color w:val="000000" w:themeColor="text1"/>
                <w:sz w:val="20"/>
                <w:szCs w:val="20"/>
                <w:lang w:val="uk-UA"/>
              </w:rPr>
              <w:instrText>://</w:instrText>
            </w:r>
            <w:r w:rsidR="000009A3" w:rsidRPr="0051313B">
              <w:rPr>
                <w:rFonts w:asciiTheme="minorHAnsi" w:hAnsiTheme="minorHAnsi" w:cstheme="minorHAnsi"/>
                <w:color w:val="000000" w:themeColor="text1"/>
                <w:sz w:val="20"/>
                <w:szCs w:val="20"/>
              </w:rPr>
              <w:instrText>zakon</w:instrText>
            </w:r>
            <w:r w:rsidR="000009A3" w:rsidRPr="0051313B">
              <w:rPr>
                <w:rFonts w:asciiTheme="minorHAnsi" w:hAnsiTheme="minorHAnsi" w:cstheme="minorHAnsi"/>
                <w:color w:val="000000" w:themeColor="text1"/>
                <w:sz w:val="20"/>
                <w:szCs w:val="20"/>
                <w:lang w:val="uk-UA"/>
              </w:rPr>
              <w:instrText>.</w:instrText>
            </w:r>
            <w:r w:rsidR="000009A3" w:rsidRPr="0051313B">
              <w:rPr>
                <w:rFonts w:asciiTheme="minorHAnsi" w:hAnsiTheme="minorHAnsi" w:cstheme="minorHAnsi"/>
                <w:color w:val="000000" w:themeColor="text1"/>
                <w:sz w:val="20"/>
                <w:szCs w:val="20"/>
              </w:rPr>
              <w:instrText>rada</w:instrText>
            </w:r>
            <w:r w:rsidR="000009A3" w:rsidRPr="0051313B">
              <w:rPr>
                <w:rFonts w:asciiTheme="minorHAnsi" w:hAnsiTheme="minorHAnsi" w:cstheme="minorHAnsi"/>
                <w:color w:val="000000" w:themeColor="text1"/>
                <w:sz w:val="20"/>
                <w:szCs w:val="20"/>
                <w:lang w:val="uk-UA"/>
              </w:rPr>
              <w:instrText>.</w:instrText>
            </w:r>
            <w:r w:rsidR="000009A3" w:rsidRPr="0051313B">
              <w:rPr>
                <w:rFonts w:asciiTheme="minorHAnsi" w:hAnsiTheme="minorHAnsi" w:cstheme="minorHAnsi"/>
                <w:color w:val="000000" w:themeColor="text1"/>
                <w:sz w:val="20"/>
                <w:szCs w:val="20"/>
              </w:rPr>
              <w:instrText>gov</w:instrText>
            </w:r>
            <w:r w:rsidR="000009A3" w:rsidRPr="0051313B">
              <w:rPr>
                <w:rFonts w:asciiTheme="minorHAnsi" w:hAnsiTheme="minorHAnsi" w:cstheme="minorHAnsi"/>
                <w:color w:val="000000" w:themeColor="text1"/>
                <w:sz w:val="20"/>
                <w:szCs w:val="20"/>
                <w:lang w:val="uk-UA"/>
              </w:rPr>
              <w:instrText>.</w:instrText>
            </w:r>
            <w:r w:rsidR="000009A3" w:rsidRPr="0051313B">
              <w:rPr>
                <w:rFonts w:asciiTheme="minorHAnsi" w:hAnsiTheme="minorHAnsi" w:cstheme="minorHAnsi"/>
                <w:color w:val="000000" w:themeColor="text1"/>
                <w:sz w:val="20"/>
                <w:szCs w:val="20"/>
              </w:rPr>
              <w:instrText>ua</w:instrText>
            </w:r>
            <w:r w:rsidR="000009A3" w:rsidRPr="0051313B">
              <w:rPr>
                <w:rFonts w:asciiTheme="minorHAnsi" w:hAnsiTheme="minorHAnsi" w:cstheme="minorHAnsi"/>
                <w:color w:val="000000" w:themeColor="text1"/>
                <w:sz w:val="20"/>
                <w:szCs w:val="20"/>
                <w:lang w:val="uk-UA"/>
              </w:rPr>
              <w:instrText>/</w:instrText>
            </w:r>
            <w:r w:rsidR="000009A3" w:rsidRPr="0051313B">
              <w:rPr>
                <w:rFonts w:asciiTheme="minorHAnsi" w:hAnsiTheme="minorHAnsi" w:cstheme="minorHAnsi"/>
                <w:color w:val="000000" w:themeColor="text1"/>
                <w:sz w:val="20"/>
                <w:szCs w:val="20"/>
              </w:rPr>
              <w:instrText>laws</w:instrText>
            </w:r>
            <w:r w:rsidR="000009A3" w:rsidRPr="0051313B">
              <w:rPr>
                <w:rFonts w:asciiTheme="minorHAnsi" w:hAnsiTheme="minorHAnsi" w:cstheme="minorHAnsi"/>
                <w:color w:val="000000" w:themeColor="text1"/>
                <w:sz w:val="20"/>
                <w:szCs w:val="20"/>
                <w:lang w:val="uk-UA"/>
              </w:rPr>
              <w:instrText>/</w:instrText>
            </w:r>
            <w:r w:rsidR="000009A3" w:rsidRPr="0051313B">
              <w:rPr>
                <w:rFonts w:asciiTheme="minorHAnsi" w:hAnsiTheme="minorHAnsi" w:cstheme="minorHAnsi"/>
                <w:color w:val="000000" w:themeColor="text1"/>
                <w:sz w:val="20"/>
                <w:szCs w:val="20"/>
              </w:rPr>
              <w:instrText>show</w:instrText>
            </w:r>
            <w:r w:rsidR="000009A3" w:rsidRPr="0051313B">
              <w:rPr>
                <w:rFonts w:asciiTheme="minorHAnsi" w:hAnsiTheme="minorHAnsi" w:cstheme="minorHAnsi"/>
                <w:color w:val="000000" w:themeColor="text1"/>
                <w:sz w:val="20"/>
                <w:szCs w:val="20"/>
                <w:lang w:val="uk-UA"/>
              </w:rPr>
              <w:instrText>/</w:instrText>
            </w:r>
            <w:r w:rsidR="000009A3" w:rsidRPr="0051313B">
              <w:rPr>
                <w:rFonts w:asciiTheme="minorHAnsi" w:hAnsiTheme="minorHAnsi" w:cstheme="minorHAnsi"/>
                <w:color w:val="000000" w:themeColor="text1"/>
                <w:sz w:val="20"/>
                <w:szCs w:val="20"/>
              </w:rPr>
              <w:instrText>z</w:instrText>
            </w:r>
            <w:r w:rsidR="000009A3" w:rsidRPr="0051313B">
              <w:rPr>
                <w:rFonts w:asciiTheme="minorHAnsi" w:hAnsiTheme="minorHAnsi" w:cstheme="minorHAnsi"/>
                <w:color w:val="000000" w:themeColor="text1"/>
                <w:sz w:val="20"/>
                <w:szCs w:val="20"/>
                <w:lang w:val="uk-UA"/>
              </w:rPr>
              <w:instrText>1237-05?</w:instrText>
            </w:r>
            <w:r w:rsidR="000009A3" w:rsidRPr="0051313B">
              <w:rPr>
                <w:rFonts w:asciiTheme="minorHAnsi" w:hAnsiTheme="minorHAnsi" w:cstheme="minorHAnsi"/>
                <w:color w:val="000000" w:themeColor="text1"/>
                <w:sz w:val="20"/>
                <w:szCs w:val="20"/>
              </w:rPr>
              <w:instrText>find</w:instrText>
            </w:r>
            <w:r w:rsidR="000009A3" w:rsidRPr="0051313B">
              <w:rPr>
                <w:rFonts w:asciiTheme="minorHAnsi" w:hAnsiTheme="minorHAnsi" w:cstheme="minorHAnsi"/>
                <w:color w:val="000000" w:themeColor="text1"/>
                <w:sz w:val="20"/>
                <w:szCs w:val="20"/>
                <w:lang w:val="uk-UA"/>
              </w:rPr>
              <w:instrText>=1&amp;</w:instrText>
            </w:r>
            <w:r w:rsidR="000009A3" w:rsidRPr="0051313B">
              <w:rPr>
                <w:rFonts w:asciiTheme="minorHAnsi" w:hAnsiTheme="minorHAnsi" w:cstheme="minorHAnsi"/>
                <w:color w:val="000000" w:themeColor="text1"/>
                <w:sz w:val="20"/>
                <w:szCs w:val="20"/>
              </w:rPr>
              <w:instrText>text</w:instrText>
            </w:r>
            <w:r w:rsidR="000009A3" w:rsidRPr="0051313B">
              <w:rPr>
                <w:rFonts w:asciiTheme="minorHAnsi" w:hAnsiTheme="minorHAnsi" w:cstheme="minorHAnsi"/>
                <w:color w:val="000000" w:themeColor="text1"/>
                <w:sz w:val="20"/>
                <w:szCs w:val="20"/>
                <w:lang w:val="uk-UA"/>
              </w:rPr>
              <w:instrText>=500" \</w:instrText>
            </w:r>
            <w:r w:rsidR="000009A3" w:rsidRPr="0051313B">
              <w:rPr>
                <w:rFonts w:asciiTheme="minorHAnsi" w:hAnsiTheme="minorHAnsi" w:cstheme="minorHAnsi"/>
                <w:color w:val="000000" w:themeColor="text1"/>
                <w:sz w:val="20"/>
                <w:szCs w:val="20"/>
              </w:rPr>
              <w:instrText>l</w:instrText>
            </w:r>
            <w:r w:rsidR="000009A3" w:rsidRPr="0051313B">
              <w:rPr>
                <w:rFonts w:asciiTheme="minorHAnsi" w:hAnsiTheme="minorHAnsi" w:cstheme="minorHAnsi"/>
                <w:color w:val="000000" w:themeColor="text1"/>
                <w:sz w:val="20"/>
                <w:szCs w:val="20"/>
                <w:lang w:val="uk-UA"/>
              </w:rPr>
              <w:instrText xml:space="preserve"> "</w:instrText>
            </w:r>
            <w:r w:rsidR="000009A3" w:rsidRPr="0051313B">
              <w:rPr>
                <w:rFonts w:asciiTheme="minorHAnsi" w:hAnsiTheme="minorHAnsi" w:cstheme="minorHAnsi"/>
                <w:color w:val="000000" w:themeColor="text1"/>
                <w:sz w:val="20"/>
                <w:szCs w:val="20"/>
              </w:rPr>
              <w:instrText>w</w:instrText>
            </w:r>
            <w:r w:rsidR="000009A3" w:rsidRPr="0051313B">
              <w:rPr>
                <w:rFonts w:asciiTheme="minorHAnsi" w:hAnsiTheme="minorHAnsi" w:cstheme="minorHAnsi"/>
                <w:color w:val="000000" w:themeColor="text1"/>
                <w:sz w:val="20"/>
                <w:szCs w:val="20"/>
                <w:lang w:val="uk-UA"/>
              </w:rPr>
              <w:instrText xml:space="preserve">1_2" </w:instrText>
            </w:r>
            <w:r w:rsidR="000009A3" w:rsidRPr="0051313B">
              <w:rPr>
                <w:rFonts w:asciiTheme="minorHAnsi" w:hAnsiTheme="minorHAnsi" w:cstheme="minorHAnsi"/>
                <w:color w:val="000000" w:themeColor="text1"/>
                <w:sz w:val="20"/>
                <w:szCs w:val="20"/>
              </w:rPr>
              <w:fldChar w:fldCharType="separate"/>
            </w:r>
            <w:r w:rsidR="000009A3" w:rsidRPr="0051313B">
              <w:rPr>
                <w:rFonts w:asciiTheme="minorHAnsi" w:hAnsiTheme="minorHAnsi" w:cstheme="minorHAnsi"/>
                <w:color w:val="000000" w:themeColor="text1"/>
                <w:sz w:val="20"/>
                <w:szCs w:val="20"/>
                <w:u w:val="single"/>
                <w:shd w:val="clear" w:color="auto" w:fill="FFD8D5"/>
                <w:lang w:val="uk-UA"/>
              </w:rPr>
              <w:t>500</w:t>
            </w:r>
            <w:r w:rsidR="000009A3" w:rsidRPr="0051313B">
              <w:rPr>
                <w:rFonts w:asciiTheme="minorHAnsi" w:hAnsiTheme="minorHAnsi" w:cstheme="minorHAnsi"/>
                <w:color w:val="000000" w:themeColor="text1"/>
                <w:sz w:val="20"/>
                <w:szCs w:val="20"/>
              </w:rPr>
              <w:fldChar w:fldCharType="end"/>
            </w:r>
            <w:bookmarkEnd w:id="0"/>
            <w:r w:rsidR="000009A3" w:rsidRPr="0051313B">
              <w:rPr>
                <w:rFonts w:asciiTheme="minorHAnsi" w:hAnsiTheme="minorHAnsi" w:cstheme="minorHAnsi"/>
                <w:color w:val="000000" w:themeColor="text1"/>
                <w:sz w:val="20"/>
                <w:szCs w:val="20"/>
                <w:shd w:val="clear" w:color="auto" w:fill="FFFFFF"/>
              </w:rPr>
              <w:t> </w:t>
            </w:r>
            <w:r w:rsidR="000009A3" w:rsidRPr="0051313B">
              <w:rPr>
                <w:rFonts w:asciiTheme="minorHAnsi" w:hAnsiTheme="minorHAnsi" w:cstheme="minorHAnsi"/>
                <w:color w:val="000000" w:themeColor="text1"/>
                <w:sz w:val="20"/>
                <w:szCs w:val="20"/>
                <w:shd w:val="clear" w:color="auto" w:fill="FFFFFF"/>
                <w:lang w:val="uk-UA"/>
              </w:rPr>
              <w:t>тисяч населення відповідного регіону* за умови надання цим ліцензіатом у відповідному регіоні телекомунікаційних послуг за встановленими значеннями показників якості послуг. У разі наявності у ліцензіата кількох ліцензій в одній смузі радіочастот</w:t>
            </w:r>
            <w:r w:rsidR="0051313B">
              <w:rPr>
                <w:rFonts w:asciiTheme="minorHAnsi" w:hAnsiTheme="minorHAnsi" w:cstheme="minorHAnsi"/>
                <w:color w:val="000000" w:themeColor="text1"/>
                <w:sz w:val="20"/>
                <w:szCs w:val="20"/>
                <w:shd w:val="clear" w:color="auto" w:fill="FFFFFF"/>
                <w:lang w:val="uk-UA"/>
              </w:rPr>
              <w:t>,</w:t>
            </w:r>
            <w:r w:rsidR="000009A3" w:rsidRPr="0051313B">
              <w:rPr>
                <w:rFonts w:asciiTheme="minorHAnsi" w:hAnsiTheme="minorHAnsi" w:cstheme="minorHAnsi"/>
                <w:color w:val="000000" w:themeColor="text1"/>
                <w:sz w:val="20"/>
                <w:szCs w:val="20"/>
                <w:shd w:val="clear" w:color="auto" w:fill="FFFFFF"/>
                <w:lang w:val="uk-UA"/>
              </w:rPr>
              <w:t xml:space="preserve"> враховуються всі вказані ліцензії.</w:t>
            </w:r>
            <w:r w:rsidRPr="0051313B">
              <w:rPr>
                <w:rFonts w:asciiTheme="minorHAnsi" w:hAnsiTheme="minorHAnsi" w:cstheme="minorHAnsi"/>
                <w:color w:val="000000" w:themeColor="text1"/>
                <w:sz w:val="20"/>
                <w:szCs w:val="20"/>
                <w:shd w:val="clear" w:color="auto" w:fill="FFFFFF"/>
                <w:lang w:val="uk-UA"/>
              </w:rPr>
              <w:t>»</w:t>
            </w:r>
          </w:p>
          <w:p w14:paraId="31D04FC3" w14:textId="5CD0858E" w:rsidR="007D5B21" w:rsidRPr="003E58C6" w:rsidRDefault="007D5B21" w:rsidP="005C5306">
            <w:pPr>
              <w:jc w:val="both"/>
              <w:rPr>
                <w:rFonts w:asciiTheme="minorHAnsi" w:hAnsiTheme="minorHAnsi" w:cstheme="minorHAnsi"/>
                <w:color w:val="333333"/>
                <w:sz w:val="20"/>
                <w:szCs w:val="20"/>
                <w:shd w:val="clear" w:color="auto" w:fill="FFFFFF"/>
                <w:lang w:val="uk-UA"/>
              </w:rPr>
            </w:pPr>
            <w:r w:rsidRPr="003E58C6">
              <w:rPr>
                <w:rFonts w:asciiTheme="minorHAnsi" w:hAnsiTheme="minorHAnsi" w:cstheme="minorHAnsi"/>
                <w:b/>
                <w:bCs/>
                <w:sz w:val="20"/>
                <w:szCs w:val="20"/>
                <w:lang w:val="uk-UA"/>
              </w:rPr>
              <w:t>На рівні жодного Закону України не встановлено визначення</w:t>
            </w:r>
            <w:r w:rsidRPr="003E58C6">
              <w:rPr>
                <w:rFonts w:asciiTheme="minorHAnsi" w:hAnsiTheme="minorHAnsi" w:cstheme="minorHAnsi"/>
                <w:bCs/>
                <w:sz w:val="20"/>
                <w:szCs w:val="20"/>
                <w:lang w:val="uk-UA"/>
              </w:rPr>
              <w:t xml:space="preserve"> «</w:t>
            </w:r>
            <w:r w:rsidRPr="003E58C6">
              <w:rPr>
                <w:rFonts w:asciiTheme="minorHAnsi" w:hAnsiTheme="minorHAnsi" w:cstheme="minorHAnsi"/>
                <w:b/>
                <w:sz w:val="20"/>
                <w:szCs w:val="20"/>
                <w:lang w:val="uk-UA"/>
              </w:rPr>
              <w:t xml:space="preserve">повне освоєння радіочастотного ресурсу», </w:t>
            </w:r>
            <w:r w:rsidRPr="003E58C6">
              <w:rPr>
                <w:rFonts w:asciiTheme="minorHAnsi" w:hAnsiTheme="minorHAnsi" w:cstheme="minorHAnsi"/>
                <w:sz w:val="20"/>
                <w:szCs w:val="20"/>
                <w:lang w:val="uk-UA"/>
              </w:rPr>
              <w:t>а</w:t>
            </w:r>
            <w:r w:rsidRPr="003E58C6">
              <w:rPr>
                <w:rFonts w:asciiTheme="minorHAnsi" w:hAnsiTheme="minorHAnsi" w:cstheme="minorHAnsi"/>
                <w:bCs/>
                <w:sz w:val="20"/>
                <w:szCs w:val="20"/>
                <w:lang w:val="uk-UA"/>
              </w:rPr>
              <w:t xml:space="preserve"> Національна комісія на свій розсуд </w:t>
            </w:r>
            <w:r w:rsidRPr="003E58C6">
              <w:rPr>
                <w:rFonts w:asciiTheme="minorHAnsi" w:hAnsiTheme="minorHAnsi" w:cstheme="minorHAnsi"/>
                <w:b/>
                <w:bCs/>
                <w:sz w:val="20"/>
                <w:szCs w:val="20"/>
                <w:lang w:val="uk-UA"/>
              </w:rPr>
              <w:t>встановила його на рівні Рішення</w:t>
            </w:r>
            <w:r w:rsidRPr="003E58C6">
              <w:rPr>
                <w:rFonts w:asciiTheme="minorHAnsi" w:hAnsiTheme="minorHAnsi" w:cstheme="minorHAnsi"/>
                <w:bCs/>
                <w:sz w:val="20"/>
                <w:szCs w:val="20"/>
                <w:lang w:val="uk-UA"/>
              </w:rPr>
              <w:t xml:space="preserve">, окрім того визначила, що повне освоєння  </w:t>
            </w:r>
            <w:r w:rsidRPr="003E58C6">
              <w:rPr>
                <w:rFonts w:asciiTheme="minorHAnsi" w:hAnsiTheme="minorHAnsi" w:cstheme="minorHAnsi"/>
                <w:sz w:val="20"/>
                <w:szCs w:val="20"/>
                <w:lang w:val="uk-UA"/>
              </w:rPr>
              <w:t>передбачає наявність у ліцензіата не менше одного дозволу на експлуатацію РЕЗ н</w:t>
            </w:r>
            <w:r w:rsidRPr="003E58C6">
              <w:rPr>
                <w:rFonts w:asciiTheme="minorHAnsi" w:hAnsiTheme="minorHAnsi" w:cstheme="minorHAnsi"/>
                <w:bCs/>
                <w:sz w:val="20"/>
                <w:szCs w:val="20"/>
                <w:lang w:val="uk-UA"/>
              </w:rPr>
              <w:t xml:space="preserve">а </w:t>
            </w:r>
            <w:r w:rsidRPr="003E58C6">
              <w:rPr>
                <w:rFonts w:asciiTheme="minorHAnsi" w:hAnsiTheme="minorHAnsi" w:cstheme="minorHAnsi"/>
                <w:b/>
                <w:bCs/>
                <w:sz w:val="20"/>
                <w:szCs w:val="20"/>
                <w:lang w:val="uk-UA"/>
              </w:rPr>
              <w:t>кожні 500 тисяч населення відповідного регіону. Проте, чому саме така цифра встановлена у змінах до ліцензійних умов</w:t>
            </w:r>
            <w:r w:rsidR="0051313B">
              <w:rPr>
                <w:rFonts w:asciiTheme="minorHAnsi" w:hAnsiTheme="minorHAnsi" w:cstheme="minorHAnsi"/>
                <w:b/>
                <w:bCs/>
                <w:sz w:val="20"/>
                <w:szCs w:val="20"/>
                <w:lang w:val="uk-UA"/>
              </w:rPr>
              <w:t>,</w:t>
            </w:r>
            <w:r w:rsidRPr="003E58C6">
              <w:rPr>
                <w:rFonts w:asciiTheme="minorHAnsi" w:hAnsiTheme="minorHAnsi" w:cstheme="minorHAnsi"/>
                <w:b/>
                <w:bCs/>
                <w:sz w:val="20"/>
                <w:szCs w:val="20"/>
                <w:lang w:val="uk-UA"/>
              </w:rPr>
              <w:t xml:space="preserve"> обґрунтування відсутнє.</w:t>
            </w:r>
          </w:p>
          <w:p w14:paraId="3222AA44" w14:textId="40E87B55" w:rsidR="007D5B21" w:rsidRPr="003E58C6" w:rsidRDefault="007D5B21" w:rsidP="005C5306">
            <w:pPr>
              <w:jc w:val="both"/>
              <w:rPr>
                <w:rFonts w:asciiTheme="minorHAnsi" w:hAnsiTheme="minorHAnsi" w:cstheme="minorHAnsi"/>
                <w:color w:val="000000"/>
                <w:sz w:val="20"/>
                <w:szCs w:val="20"/>
                <w:lang w:val="uk-UA" w:eastAsia="ru-RU"/>
              </w:rPr>
            </w:pPr>
          </w:p>
        </w:tc>
        <w:tc>
          <w:tcPr>
            <w:tcW w:w="0" w:type="auto"/>
            <w:tcBorders>
              <w:top w:val="nil"/>
              <w:left w:val="nil"/>
              <w:bottom w:val="single" w:sz="4" w:space="0" w:color="auto"/>
              <w:right w:val="single" w:sz="4" w:space="0" w:color="auto"/>
            </w:tcBorders>
            <w:shd w:val="clear" w:color="auto" w:fill="auto"/>
            <w:vAlign w:val="center"/>
          </w:tcPr>
          <w:p w14:paraId="11C12412" w14:textId="1FA3EF11" w:rsidR="000009A3" w:rsidRPr="000009A3" w:rsidRDefault="000009A3" w:rsidP="000009A3">
            <w:pPr>
              <w:jc w:val="both"/>
              <w:rPr>
                <w:rFonts w:asciiTheme="minorHAnsi" w:hAnsiTheme="minorHAnsi" w:cstheme="minorHAnsi"/>
                <w:color w:val="000000"/>
                <w:sz w:val="20"/>
                <w:szCs w:val="20"/>
                <w:lang w:val="uk-UA" w:eastAsia="ru-RU"/>
              </w:rPr>
            </w:pPr>
            <w:r w:rsidRPr="003E58C6">
              <w:rPr>
                <w:rFonts w:asciiTheme="minorHAnsi" w:hAnsiTheme="minorHAnsi" w:cstheme="minorHAnsi"/>
                <w:color w:val="000000"/>
                <w:sz w:val="20"/>
                <w:szCs w:val="20"/>
                <w:lang w:val="uk-UA" w:eastAsia="ru-RU"/>
              </w:rPr>
              <w:t xml:space="preserve">Виключення абзацу третього пп. 4.1.8 пункту 4.1 глави 4 </w:t>
            </w:r>
            <w:r w:rsidRPr="000009A3">
              <w:rPr>
                <w:rFonts w:asciiTheme="minorHAnsi" w:hAnsiTheme="minorHAnsi" w:cstheme="minorHAnsi"/>
                <w:color w:val="000000"/>
                <w:sz w:val="20"/>
                <w:szCs w:val="20"/>
                <w:lang w:val="uk-UA" w:eastAsia="ru-RU"/>
              </w:rPr>
              <w:t>ЛІЦЕНЗІЙН</w:t>
            </w:r>
            <w:r w:rsidRPr="003E58C6">
              <w:rPr>
                <w:rFonts w:asciiTheme="minorHAnsi" w:hAnsiTheme="minorHAnsi" w:cstheme="minorHAnsi"/>
                <w:color w:val="000000"/>
                <w:sz w:val="20"/>
                <w:szCs w:val="20"/>
                <w:lang w:val="uk-UA" w:eastAsia="ru-RU"/>
              </w:rPr>
              <w:t>ИХ</w:t>
            </w:r>
            <w:r w:rsidRPr="000009A3">
              <w:rPr>
                <w:rFonts w:asciiTheme="minorHAnsi" w:hAnsiTheme="minorHAnsi" w:cstheme="minorHAnsi"/>
                <w:color w:val="000000"/>
                <w:sz w:val="20"/>
                <w:szCs w:val="20"/>
                <w:lang w:val="uk-UA" w:eastAsia="ru-RU"/>
              </w:rPr>
              <w:t xml:space="preserve"> УМОВИ</w:t>
            </w:r>
            <w:r w:rsidRPr="000009A3">
              <w:rPr>
                <w:rFonts w:asciiTheme="minorHAnsi" w:hAnsiTheme="minorHAnsi" w:cstheme="minorHAnsi"/>
                <w:color w:val="000000"/>
                <w:sz w:val="20"/>
                <w:szCs w:val="20"/>
                <w:lang w:val="uk-UA" w:eastAsia="ru-RU"/>
              </w:rPr>
              <w:br/>
              <w:t>користування радіочастотним ресурсом України</w:t>
            </w:r>
            <w:r w:rsidRPr="003E58C6">
              <w:rPr>
                <w:rFonts w:asciiTheme="minorHAnsi" w:hAnsiTheme="minorHAnsi" w:cstheme="minorHAnsi"/>
                <w:color w:val="000000"/>
                <w:sz w:val="20"/>
                <w:szCs w:val="20"/>
                <w:lang w:val="uk-UA" w:eastAsia="ru-RU"/>
              </w:rPr>
              <w:t xml:space="preserve">, що завтерджені рішенням НКРЗІ </w:t>
            </w:r>
            <w:r w:rsidRPr="000009A3">
              <w:rPr>
                <w:rFonts w:asciiTheme="minorHAnsi" w:hAnsiTheme="minorHAnsi" w:cstheme="minorHAnsi"/>
                <w:color w:val="000000"/>
                <w:sz w:val="20"/>
                <w:szCs w:val="20"/>
                <w:lang w:val="uk-UA" w:eastAsia="ru-RU"/>
              </w:rPr>
              <w:t>19.08.2005  № 53</w:t>
            </w:r>
            <w:r w:rsidRPr="003E58C6">
              <w:rPr>
                <w:rFonts w:asciiTheme="minorHAnsi" w:hAnsiTheme="minorHAnsi" w:cstheme="minorHAnsi"/>
                <w:color w:val="000000"/>
                <w:sz w:val="20"/>
                <w:szCs w:val="20"/>
                <w:lang w:val="uk-UA" w:eastAsia="ru-RU"/>
              </w:rPr>
              <w:t xml:space="preserve"> (</w:t>
            </w:r>
            <w:r w:rsidRPr="000009A3">
              <w:rPr>
                <w:rFonts w:asciiTheme="minorHAnsi" w:hAnsiTheme="minorHAnsi" w:cstheme="minorHAnsi"/>
                <w:color w:val="000000"/>
                <w:sz w:val="20"/>
                <w:szCs w:val="20"/>
                <w:lang w:val="uk-UA" w:eastAsia="ru-RU"/>
              </w:rPr>
              <w:t>Зареєстровано в Міністерстві</w:t>
            </w:r>
            <w:r w:rsidRPr="000009A3">
              <w:rPr>
                <w:rFonts w:asciiTheme="minorHAnsi" w:hAnsiTheme="minorHAnsi" w:cstheme="minorHAnsi"/>
                <w:color w:val="000000"/>
                <w:sz w:val="20"/>
                <w:szCs w:val="20"/>
                <w:lang w:val="uk-UA" w:eastAsia="ru-RU"/>
              </w:rPr>
              <w:br/>
              <w:t>юстиції України</w:t>
            </w:r>
            <w:r w:rsidRPr="000009A3">
              <w:rPr>
                <w:rFonts w:asciiTheme="minorHAnsi" w:hAnsiTheme="minorHAnsi" w:cstheme="minorHAnsi"/>
                <w:color w:val="000000"/>
                <w:sz w:val="20"/>
                <w:szCs w:val="20"/>
                <w:lang w:val="uk-UA" w:eastAsia="ru-RU"/>
              </w:rPr>
              <w:br/>
              <w:t>20 жовтня 2005 р.</w:t>
            </w:r>
            <w:r w:rsidRPr="000009A3">
              <w:rPr>
                <w:rFonts w:asciiTheme="minorHAnsi" w:hAnsiTheme="minorHAnsi" w:cstheme="minorHAnsi"/>
                <w:color w:val="000000"/>
                <w:sz w:val="20"/>
                <w:szCs w:val="20"/>
                <w:lang w:val="uk-UA" w:eastAsia="ru-RU"/>
              </w:rPr>
              <w:br/>
              <w:t>за № 1237/11517</w:t>
            </w:r>
            <w:r w:rsidRPr="003E58C6">
              <w:rPr>
                <w:rFonts w:asciiTheme="minorHAnsi" w:hAnsiTheme="minorHAnsi" w:cstheme="minorHAnsi"/>
                <w:color w:val="000000"/>
                <w:sz w:val="20"/>
                <w:szCs w:val="20"/>
                <w:lang w:val="uk-UA" w:eastAsia="ru-RU"/>
              </w:rPr>
              <w:t>)</w:t>
            </w:r>
          </w:p>
          <w:p w14:paraId="47646865" w14:textId="399190CB" w:rsidR="000009A3" w:rsidRPr="003E58C6" w:rsidRDefault="000009A3" w:rsidP="005C5306">
            <w:pPr>
              <w:jc w:val="both"/>
              <w:rPr>
                <w:rFonts w:asciiTheme="minorHAnsi" w:hAnsiTheme="minorHAnsi" w:cstheme="minorHAnsi"/>
                <w:i/>
                <w:iCs/>
                <w:color w:val="333333"/>
                <w:sz w:val="20"/>
                <w:szCs w:val="20"/>
                <w:shd w:val="clear" w:color="auto" w:fill="FFFFFF"/>
                <w:lang w:val="uk-UA"/>
              </w:rPr>
            </w:pPr>
          </w:p>
          <w:p w14:paraId="58E4DA03" w14:textId="728730B4" w:rsidR="000009A3" w:rsidRPr="0051313B" w:rsidRDefault="000009A3" w:rsidP="005C5306">
            <w:pPr>
              <w:jc w:val="both"/>
              <w:rPr>
                <w:rFonts w:asciiTheme="minorHAnsi" w:hAnsiTheme="minorHAnsi" w:cstheme="minorHAnsi"/>
                <w:i/>
                <w:iCs/>
                <w:color w:val="333333"/>
                <w:sz w:val="20"/>
                <w:szCs w:val="20"/>
                <w:shd w:val="clear" w:color="auto" w:fill="FFFFFF"/>
                <w:lang w:val="uk-UA"/>
              </w:rPr>
            </w:pPr>
            <w:bookmarkStart w:id="1" w:name="n15"/>
            <w:bookmarkEnd w:id="1"/>
          </w:p>
          <w:p w14:paraId="76EAD41B" w14:textId="0029C550" w:rsidR="000009A3" w:rsidRPr="003E58C6" w:rsidRDefault="000009A3" w:rsidP="005C5306">
            <w:pPr>
              <w:jc w:val="both"/>
              <w:rPr>
                <w:rFonts w:asciiTheme="minorHAnsi" w:hAnsiTheme="minorHAnsi" w:cstheme="minorHAnsi"/>
                <w:color w:val="000000"/>
                <w:sz w:val="20"/>
                <w:szCs w:val="20"/>
                <w:lang w:val="uk-UA" w:eastAsia="ru-RU"/>
              </w:rPr>
            </w:pPr>
          </w:p>
        </w:tc>
        <w:tc>
          <w:tcPr>
            <w:tcW w:w="0" w:type="auto"/>
            <w:tcBorders>
              <w:top w:val="nil"/>
              <w:left w:val="nil"/>
              <w:bottom w:val="single" w:sz="4" w:space="0" w:color="auto"/>
              <w:right w:val="single" w:sz="4" w:space="0" w:color="auto"/>
            </w:tcBorders>
            <w:shd w:val="clear" w:color="auto" w:fill="auto"/>
            <w:vAlign w:val="center"/>
          </w:tcPr>
          <w:p w14:paraId="29D8151C" w14:textId="6483CEAD" w:rsidR="000009A3" w:rsidRPr="003E58C6" w:rsidRDefault="000009A3" w:rsidP="00521A36">
            <w:pPr>
              <w:jc w:val="center"/>
              <w:rPr>
                <w:rFonts w:asciiTheme="minorHAnsi" w:hAnsiTheme="minorHAnsi" w:cstheme="minorHAnsi"/>
                <w:color w:val="000000"/>
                <w:sz w:val="20"/>
                <w:szCs w:val="20"/>
                <w:lang w:val="uk-UA" w:eastAsia="ru-RU"/>
              </w:rPr>
            </w:pPr>
            <w:r w:rsidRPr="003E58C6">
              <w:rPr>
                <w:rFonts w:asciiTheme="minorHAnsi" w:hAnsiTheme="minorHAnsi" w:cstheme="minorHAnsi"/>
                <w:color w:val="000000"/>
                <w:sz w:val="20"/>
                <w:szCs w:val="20"/>
                <w:lang w:val="uk-UA" w:eastAsia="ru-RU"/>
              </w:rPr>
              <w:t>НКРЗІ</w:t>
            </w:r>
          </w:p>
        </w:tc>
      </w:tr>
      <w:tr w:rsidR="00FE760B" w:rsidRPr="00D7098C" w14:paraId="25CEDE15" w14:textId="77777777" w:rsidTr="005C5306">
        <w:trPr>
          <w:trHeight w:val="167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02A4FD69" w14:textId="23DBFB84" w:rsidR="00FE760B" w:rsidRPr="003E58C6" w:rsidRDefault="00E663B9" w:rsidP="005C5306">
            <w:pPr>
              <w:jc w:val="both"/>
              <w:rPr>
                <w:rFonts w:asciiTheme="minorHAnsi" w:hAnsiTheme="minorHAnsi" w:cstheme="minorHAnsi"/>
                <w:b/>
                <w:color w:val="000000"/>
                <w:sz w:val="20"/>
                <w:szCs w:val="20"/>
                <w:lang w:val="uk-UA" w:eastAsia="ru-RU"/>
              </w:rPr>
            </w:pPr>
            <w:r w:rsidRPr="003E58C6">
              <w:rPr>
                <w:rFonts w:asciiTheme="minorHAnsi" w:hAnsiTheme="minorHAnsi" w:cstheme="minorHAnsi"/>
                <w:b/>
                <w:color w:val="000000"/>
                <w:sz w:val="20"/>
                <w:szCs w:val="20"/>
                <w:lang w:val="uk-UA" w:eastAsia="ru-RU"/>
              </w:rPr>
              <w:t xml:space="preserve">Не обгрунтоване підвищення ставки за користування радіочастотним ресурсом </w:t>
            </w:r>
          </w:p>
        </w:tc>
        <w:tc>
          <w:tcPr>
            <w:tcW w:w="0" w:type="auto"/>
            <w:tcBorders>
              <w:top w:val="nil"/>
              <w:left w:val="nil"/>
              <w:bottom w:val="single" w:sz="4" w:space="0" w:color="auto"/>
              <w:right w:val="single" w:sz="4" w:space="0" w:color="auto"/>
            </w:tcBorders>
            <w:shd w:val="clear" w:color="auto" w:fill="auto"/>
            <w:vAlign w:val="center"/>
          </w:tcPr>
          <w:p w14:paraId="0E9A5554" w14:textId="46A07FC3" w:rsidR="00FE760B" w:rsidRPr="003E58C6" w:rsidRDefault="00E663B9" w:rsidP="003E58C6">
            <w:pPr>
              <w:jc w:val="both"/>
              <w:rPr>
                <w:rFonts w:asciiTheme="minorHAnsi" w:hAnsiTheme="minorHAnsi" w:cstheme="minorHAnsi"/>
                <w:i/>
                <w:iCs/>
                <w:color w:val="333333"/>
                <w:sz w:val="20"/>
                <w:szCs w:val="20"/>
                <w:shd w:val="clear" w:color="auto" w:fill="FFFFFF"/>
                <w:lang w:val="uk-UA"/>
              </w:rPr>
            </w:pPr>
            <w:r w:rsidRPr="003E58C6">
              <w:rPr>
                <w:rFonts w:asciiTheme="minorHAnsi" w:eastAsia="MS Mincho" w:hAnsiTheme="minorHAnsi" w:cstheme="minorHAnsi"/>
                <w:sz w:val="20"/>
                <w:szCs w:val="20"/>
                <w:lang w:val="uk-UA" w:eastAsia="ru-RU"/>
              </w:rPr>
              <w:t>До пп. 16-1 пункту 254.4 статті 254 Податкового кодексу України було внесено зміни, які вступили в дію 1 січня 2020 року</w:t>
            </w:r>
            <w:r w:rsidR="0051313B">
              <w:rPr>
                <w:rFonts w:asciiTheme="minorHAnsi" w:eastAsia="MS Mincho" w:hAnsiTheme="minorHAnsi" w:cstheme="minorHAnsi"/>
                <w:sz w:val="20"/>
                <w:szCs w:val="20"/>
                <w:lang w:val="uk-UA" w:eastAsia="ru-RU"/>
              </w:rPr>
              <w:t>,</w:t>
            </w:r>
            <w:r w:rsidRPr="003E58C6">
              <w:rPr>
                <w:rFonts w:asciiTheme="minorHAnsi" w:eastAsia="MS Mincho" w:hAnsiTheme="minorHAnsi" w:cstheme="minorHAnsi"/>
                <w:sz w:val="20"/>
                <w:szCs w:val="20"/>
                <w:lang w:val="uk-UA" w:eastAsia="ru-RU"/>
              </w:rPr>
              <w:t xml:space="preserve"> та підвищено ставки РЧР у 65 разів (з</w:t>
            </w:r>
            <w:r w:rsidRPr="003E58C6">
              <w:rPr>
                <w:rFonts w:asciiTheme="minorHAnsi" w:eastAsia="MS Mincho" w:hAnsiTheme="minorHAnsi" w:cstheme="minorHAnsi"/>
                <w:b/>
                <w:bCs/>
                <w:sz w:val="20"/>
                <w:szCs w:val="20"/>
                <w:lang w:val="uk-UA" w:eastAsia="ru-RU"/>
              </w:rPr>
              <w:t xml:space="preserve"> 45,83 грн. до 3000 грн. </w:t>
            </w:r>
            <w:r w:rsidRPr="003E58C6">
              <w:rPr>
                <w:rFonts w:asciiTheme="minorHAnsi" w:eastAsia="MS Mincho" w:hAnsiTheme="minorHAnsi" w:cstheme="minorHAnsi"/>
                <w:sz w:val="20"/>
                <w:szCs w:val="20"/>
                <w:lang w:val="uk-UA" w:eastAsia="ru-RU"/>
              </w:rPr>
              <w:t>за 1 МГц смуги радіочастот на місяць)</w:t>
            </w:r>
            <w:r w:rsidRPr="003E58C6">
              <w:rPr>
                <w:rFonts w:asciiTheme="minorHAnsi" w:eastAsia="MS Mincho" w:hAnsiTheme="minorHAnsi" w:cstheme="minorHAnsi"/>
                <w:bCs/>
                <w:sz w:val="20"/>
                <w:szCs w:val="20"/>
                <w:lang w:val="uk-UA" w:eastAsia="ru-RU"/>
              </w:rPr>
              <w:t xml:space="preserve">. </w:t>
            </w:r>
            <w:r w:rsidR="003A0841" w:rsidRPr="003E58C6">
              <w:rPr>
                <w:rFonts w:asciiTheme="minorHAnsi" w:eastAsia="MS Mincho" w:hAnsiTheme="minorHAnsi" w:cstheme="minorHAnsi"/>
                <w:bCs/>
                <w:sz w:val="20"/>
                <w:szCs w:val="20"/>
                <w:lang w:val="uk-UA" w:eastAsia="ru-RU"/>
              </w:rPr>
              <w:t>З</w:t>
            </w:r>
            <w:r w:rsidR="003A0841" w:rsidRPr="003E58C6">
              <w:rPr>
                <w:rFonts w:asciiTheme="minorHAnsi" w:eastAsia="MS Mincho" w:hAnsiTheme="minorHAnsi" w:cstheme="minorHAnsi"/>
                <w:sz w:val="20"/>
                <w:szCs w:val="20"/>
                <w:lang w:val="uk-UA" w:eastAsia="ru-RU"/>
              </w:rPr>
              <w:t xml:space="preserve">більшення ставки рентної плати за користування радіочастотним ресурсом України можливе виключно у разі реалізації комплексних заходів, зокрема, </w:t>
            </w:r>
            <w:r w:rsidR="003A0841" w:rsidRPr="003E58C6">
              <w:rPr>
                <w:rFonts w:asciiTheme="minorHAnsi" w:hAnsiTheme="minorHAnsi" w:cstheme="minorHAnsi"/>
                <w:color w:val="0D0D0D" w:themeColor="text1" w:themeTint="F2"/>
                <w:sz w:val="20"/>
                <w:szCs w:val="20"/>
                <w:lang w:val="uk-UA"/>
              </w:rPr>
              <w:t xml:space="preserve">у разі впровадження технологічної нейтральності, тобто у разі запровадженого регулятором </w:t>
            </w:r>
            <w:r w:rsidR="003A0841" w:rsidRPr="003E58C6">
              <w:rPr>
                <w:rFonts w:asciiTheme="minorHAnsi" w:hAnsiTheme="minorHAnsi" w:cstheme="minorHAnsi"/>
                <w:b/>
                <w:color w:val="0D0D0D" w:themeColor="text1" w:themeTint="F2"/>
                <w:sz w:val="20"/>
                <w:szCs w:val="20"/>
                <w:lang w:val="uk-UA"/>
              </w:rPr>
              <w:t>права надавати споживачам послуги за будь-якими технологіями в межах, дозволених ліцензіями</w:t>
            </w:r>
            <w:r w:rsidR="003A0841" w:rsidRPr="003E58C6">
              <w:rPr>
                <w:rFonts w:asciiTheme="minorHAnsi" w:hAnsiTheme="minorHAnsi" w:cstheme="minorHAnsi"/>
                <w:color w:val="0D0D0D" w:themeColor="text1" w:themeTint="F2"/>
                <w:sz w:val="20"/>
                <w:szCs w:val="20"/>
                <w:lang w:val="uk-UA"/>
              </w:rPr>
              <w:t>.</w:t>
            </w:r>
            <w:r w:rsidR="003A0841" w:rsidRPr="003E58C6">
              <w:rPr>
                <w:rFonts w:asciiTheme="minorHAnsi" w:hAnsiTheme="minorHAnsi" w:cstheme="minorHAnsi"/>
                <w:b/>
                <w:color w:val="0D0D0D" w:themeColor="text1" w:themeTint="F2"/>
                <w:sz w:val="20"/>
                <w:szCs w:val="20"/>
                <w:lang w:val="uk-UA"/>
              </w:rPr>
              <w:t xml:space="preserve"> </w:t>
            </w:r>
            <w:r w:rsidR="003A0841" w:rsidRPr="003E58C6">
              <w:rPr>
                <w:rFonts w:asciiTheme="minorHAnsi" w:hAnsiTheme="minorHAnsi" w:cstheme="minorHAnsi"/>
                <w:color w:val="0D0D0D" w:themeColor="text1" w:themeTint="F2"/>
                <w:sz w:val="20"/>
                <w:szCs w:val="20"/>
                <w:lang w:val="uk-UA"/>
              </w:rPr>
              <w:t>Саме в такому випадку може бути виправданим підвищення ставки рентної плати.</w:t>
            </w:r>
            <w:r w:rsidR="003E58C6">
              <w:rPr>
                <w:rFonts w:asciiTheme="minorHAnsi" w:hAnsiTheme="minorHAnsi" w:cstheme="minorHAnsi"/>
                <w:color w:val="0D0D0D" w:themeColor="text1" w:themeTint="F2"/>
                <w:sz w:val="20"/>
                <w:szCs w:val="20"/>
                <w:lang w:val="uk-UA"/>
              </w:rPr>
              <w:t xml:space="preserve"> Проте, технологічну нейтральність не введено, а лише підвищено ставку рентної плати .</w:t>
            </w:r>
          </w:p>
        </w:tc>
        <w:tc>
          <w:tcPr>
            <w:tcW w:w="0" w:type="auto"/>
            <w:tcBorders>
              <w:top w:val="nil"/>
              <w:left w:val="nil"/>
              <w:bottom w:val="single" w:sz="4" w:space="0" w:color="auto"/>
              <w:right w:val="single" w:sz="4" w:space="0" w:color="auto"/>
            </w:tcBorders>
            <w:shd w:val="clear" w:color="auto" w:fill="auto"/>
            <w:vAlign w:val="center"/>
          </w:tcPr>
          <w:p w14:paraId="51C82320" w14:textId="2CF9DBE9" w:rsidR="00FE760B" w:rsidRPr="003E58C6" w:rsidRDefault="00F45374" w:rsidP="000009A3">
            <w:pPr>
              <w:jc w:val="both"/>
              <w:rPr>
                <w:rFonts w:asciiTheme="minorHAnsi" w:hAnsiTheme="minorHAnsi" w:cstheme="minorHAnsi"/>
                <w:color w:val="000000"/>
                <w:sz w:val="20"/>
                <w:szCs w:val="20"/>
                <w:lang w:val="uk-UA" w:eastAsia="ru-RU"/>
              </w:rPr>
            </w:pPr>
            <w:r w:rsidRPr="003E58C6">
              <w:rPr>
                <w:rFonts w:asciiTheme="minorHAnsi" w:hAnsiTheme="minorHAnsi" w:cstheme="minorHAnsi"/>
                <w:color w:val="000000"/>
                <w:sz w:val="20"/>
                <w:szCs w:val="20"/>
                <w:lang w:val="uk-UA" w:eastAsia="ru-RU"/>
              </w:rPr>
              <w:t xml:space="preserve">Внести зміни </w:t>
            </w:r>
            <w:r w:rsidRPr="003E58C6">
              <w:rPr>
                <w:rFonts w:asciiTheme="minorHAnsi" w:eastAsia="MS Mincho" w:hAnsiTheme="minorHAnsi" w:cstheme="minorHAnsi"/>
                <w:sz w:val="20"/>
                <w:szCs w:val="20"/>
                <w:lang w:val="uk-UA" w:eastAsia="ru-RU"/>
              </w:rPr>
              <w:t>пп. 16-1 пункту 254.4 статті 254 Податкового кодексу України та встановити ромір плати за користування РЧР на рівні 45.83 .</w:t>
            </w:r>
          </w:p>
        </w:tc>
        <w:tc>
          <w:tcPr>
            <w:tcW w:w="0" w:type="auto"/>
            <w:tcBorders>
              <w:top w:val="nil"/>
              <w:left w:val="nil"/>
              <w:bottom w:val="single" w:sz="4" w:space="0" w:color="auto"/>
              <w:right w:val="single" w:sz="4" w:space="0" w:color="auto"/>
            </w:tcBorders>
            <w:shd w:val="clear" w:color="auto" w:fill="auto"/>
            <w:vAlign w:val="center"/>
          </w:tcPr>
          <w:p w14:paraId="2A2EE159" w14:textId="77777777" w:rsidR="00FE760B" w:rsidRPr="003E58C6" w:rsidRDefault="00F45374" w:rsidP="00521A36">
            <w:pPr>
              <w:jc w:val="center"/>
              <w:rPr>
                <w:rFonts w:asciiTheme="minorHAnsi" w:hAnsiTheme="minorHAnsi" w:cstheme="minorHAnsi"/>
                <w:color w:val="000000"/>
                <w:sz w:val="20"/>
                <w:szCs w:val="20"/>
                <w:lang w:val="uk-UA" w:eastAsia="ru-RU"/>
              </w:rPr>
            </w:pPr>
            <w:r w:rsidRPr="003E58C6">
              <w:rPr>
                <w:rFonts w:asciiTheme="minorHAnsi" w:hAnsiTheme="minorHAnsi" w:cstheme="minorHAnsi"/>
                <w:color w:val="000000"/>
                <w:sz w:val="20"/>
                <w:szCs w:val="20"/>
                <w:lang w:val="uk-UA" w:eastAsia="ru-RU"/>
              </w:rPr>
              <w:t>Мінфін</w:t>
            </w:r>
          </w:p>
          <w:p w14:paraId="05F86888" w14:textId="0F639836" w:rsidR="00F45374" w:rsidRPr="003E58C6" w:rsidRDefault="00F45374" w:rsidP="00521A36">
            <w:pPr>
              <w:jc w:val="center"/>
              <w:rPr>
                <w:rFonts w:asciiTheme="minorHAnsi" w:hAnsiTheme="minorHAnsi" w:cstheme="minorHAnsi"/>
                <w:color w:val="000000"/>
                <w:sz w:val="20"/>
                <w:szCs w:val="20"/>
                <w:lang w:val="uk-UA" w:eastAsia="ru-RU"/>
              </w:rPr>
            </w:pPr>
            <w:r w:rsidRPr="003E58C6">
              <w:rPr>
                <w:rFonts w:asciiTheme="minorHAnsi" w:hAnsiTheme="minorHAnsi" w:cstheme="minorHAnsi"/>
                <w:color w:val="000000"/>
                <w:sz w:val="20"/>
                <w:szCs w:val="20"/>
                <w:lang w:val="uk-UA" w:eastAsia="ru-RU"/>
              </w:rPr>
              <w:t>НКРЗІ</w:t>
            </w:r>
          </w:p>
        </w:tc>
      </w:tr>
      <w:tr w:rsidR="00F45374" w:rsidRPr="005C5306" w14:paraId="1C2873B1" w14:textId="77777777" w:rsidTr="005C5306">
        <w:trPr>
          <w:trHeight w:val="1675"/>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BF45BFB" w14:textId="77777777" w:rsidR="00451AF8" w:rsidRPr="003E58C6" w:rsidRDefault="00451AF8" w:rsidP="005C5306">
            <w:pPr>
              <w:jc w:val="both"/>
              <w:rPr>
                <w:rFonts w:asciiTheme="minorHAnsi" w:hAnsiTheme="minorHAnsi" w:cstheme="minorHAnsi"/>
                <w:b/>
                <w:color w:val="000000"/>
                <w:sz w:val="20"/>
                <w:szCs w:val="20"/>
                <w:lang w:val="uk-UA" w:eastAsia="ru-RU"/>
              </w:rPr>
            </w:pPr>
            <w:r w:rsidRPr="003E58C6">
              <w:rPr>
                <w:rFonts w:asciiTheme="minorHAnsi" w:hAnsiTheme="minorHAnsi" w:cstheme="minorHAnsi"/>
                <w:b/>
                <w:color w:val="000000"/>
                <w:sz w:val="20"/>
                <w:szCs w:val="20"/>
                <w:lang w:val="uk-UA" w:eastAsia="ru-RU"/>
              </w:rPr>
              <w:lastRenderedPageBreak/>
              <w:t>Обмеження доступу до елементів інфраструктури будинків, об’єктів електроенергетики, тощо для розміщення телекомунікаційного обладнання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879547F" w14:textId="77777777" w:rsidR="00451AF8" w:rsidRPr="003E58C6" w:rsidRDefault="00451AF8" w:rsidP="005C5306">
            <w:pPr>
              <w:jc w:val="both"/>
              <w:rPr>
                <w:rFonts w:asciiTheme="minorHAnsi" w:hAnsiTheme="minorHAnsi" w:cstheme="minorHAnsi"/>
                <w:color w:val="000000"/>
                <w:sz w:val="20"/>
                <w:szCs w:val="20"/>
                <w:lang w:val="uk-UA" w:eastAsia="ru-RU"/>
              </w:rPr>
            </w:pPr>
            <w:r w:rsidRPr="003E58C6">
              <w:rPr>
                <w:rFonts w:asciiTheme="minorHAnsi" w:hAnsiTheme="minorHAnsi" w:cstheme="minorHAnsi"/>
                <w:color w:val="000000"/>
                <w:sz w:val="20"/>
                <w:szCs w:val="20"/>
                <w:lang w:val="uk-UA" w:eastAsia="ru-RU"/>
              </w:rPr>
              <w:t>Відсутність відповідальності Власників (володільців) об’єктів доступу. Переукладення договорів з доступу в будинках, де телекоммережі розташовані і експлуатуються. Єдиний підхід у визначені плати за доступ до елементів інфраструктури будинків, електроенергетики, розподіл витрат Власника (володільця) між всіма Замовниками, що використовують інфраструктуру</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1AB5B57" w14:textId="77777777" w:rsidR="00451AF8" w:rsidRPr="003E58C6" w:rsidRDefault="00451AF8" w:rsidP="005C5306">
            <w:pPr>
              <w:jc w:val="both"/>
              <w:rPr>
                <w:rFonts w:asciiTheme="minorHAnsi" w:hAnsiTheme="minorHAnsi" w:cstheme="minorHAnsi"/>
                <w:color w:val="000000"/>
                <w:sz w:val="20"/>
                <w:szCs w:val="20"/>
                <w:lang w:val="uk-UA" w:eastAsia="ru-RU"/>
              </w:rPr>
            </w:pPr>
            <w:r w:rsidRPr="003E58C6">
              <w:rPr>
                <w:rFonts w:asciiTheme="minorHAnsi" w:hAnsiTheme="minorHAnsi" w:cstheme="minorHAnsi"/>
                <w:color w:val="000000"/>
                <w:sz w:val="20"/>
                <w:szCs w:val="20"/>
                <w:lang w:val="uk-UA" w:eastAsia="ru-RU"/>
              </w:rPr>
              <w:t>Внесення змін в Закон України «Про доступ до об’єктів будівництва, транспорту, електроенергетики з метою розвитку телекомунікаційних мереж»</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5DBCBDB" w14:textId="77777777" w:rsidR="00451AF8" w:rsidRPr="003E58C6" w:rsidRDefault="00451AF8" w:rsidP="00521A36">
            <w:pPr>
              <w:jc w:val="center"/>
              <w:rPr>
                <w:rFonts w:asciiTheme="minorHAnsi" w:hAnsiTheme="minorHAnsi" w:cstheme="minorHAnsi"/>
                <w:color w:val="000000"/>
                <w:sz w:val="20"/>
                <w:szCs w:val="20"/>
                <w:lang w:val="uk-UA" w:eastAsia="ru-RU"/>
              </w:rPr>
            </w:pPr>
            <w:r w:rsidRPr="003E58C6">
              <w:rPr>
                <w:rFonts w:asciiTheme="minorHAnsi" w:hAnsiTheme="minorHAnsi" w:cstheme="minorHAnsi"/>
                <w:color w:val="000000"/>
                <w:sz w:val="20"/>
                <w:szCs w:val="20"/>
                <w:lang w:val="uk-UA" w:eastAsia="ru-RU"/>
              </w:rPr>
              <w:t>Мінцифри</w:t>
            </w:r>
            <w:r w:rsidRPr="003E58C6">
              <w:rPr>
                <w:rFonts w:asciiTheme="minorHAnsi" w:hAnsiTheme="minorHAnsi" w:cstheme="minorHAnsi"/>
                <w:color w:val="000000"/>
                <w:sz w:val="20"/>
                <w:szCs w:val="20"/>
                <w:lang w:val="uk-UA" w:eastAsia="ru-RU"/>
              </w:rPr>
              <w:br/>
              <w:t>Мінрегіон</w:t>
            </w:r>
          </w:p>
        </w:tc>
      </w:tr>
      <w:tr w:rsidR="00F45374" w:rsidRPr="005C5306" w14:paraId="65C5C5D5" w14:textId="77777777" w:rsidTr="005C5306">
        <w:trPr>
          <w:trHeight w:val="1675"/>
          <w:jc w:val="center"/>
        </w:trPr>
        <w:tc>
          <w:tcPr>
            <w:tcW w:w="0" w:type="auto"/>
            <w:vMerge/>
            <w:tcBorders>
              <w:top w:val="nil"/>
              <w:left w:val="single" w:sz="4" w:space="0" w:color="auto"/>
              <w:bottom w:val="single" w:sz="4" w:space="0" w:color="auto"/>
              <w:right w:val="single" w:sz="4" w:space="0" w:color="auto"/>
            </w:tcBorders>
            <w:vAlign w:val="center"/>
            <w:hideMark/>
          </w:tcPr>
          <w:p w14:paraId="56EB0CB0" w14:textId="77777777" w:rsidR="00451AF8" w:rsidRPr="00451AF8" w:rsidRDefault="00451AF8" w:rsidP="005C5306">
            <w:pPr>
              <w:jc w:val="both"/>
              <w:rPr>
                <w:rFonts w:ascii="Calibri" w:hAnsi="Calibri" w:cs="Calibri"/>
                <w:b/>
                <w:color w:val="000000"/>
                <w:sz w:val="2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14:paraId="1252AF68" w14:textId="77777777" w:rsidR="00451AF8" w:rsidRPr="00451AF8" w:rsidRDefault="00451AF8" w:rsidP="005C5306">
            <w:pPr>
              <w:jc w:val="both"/>
              <w:rPr>
                <w:rFonts w:ascii="Calibri" w:hAnsi="Calibri" w:cs="Calibri"/>
                <w:color w:val="000000"/>
                <w:sz w:val="2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14:paraId="091FD8BD" w14:textId="77777777" w:rsidR="00451AF8" w:rsidRPr="00451AF8" w:rsidRDefault="00451AF8" w:rsidP="005C5306">
            <w:pPr>
              <w:jc w:val="both"/>
              <w:rPr>
                <w:rFonts w:ascii="Calibri" w:hAnsi="Calibri" w:cs="Calibri"/>
                <w:color w:val="000000"/>
                <w:sz w:val="2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14:paraId="25CA87BB" w14:textId="77777777" w:rsidR="00451AF8" w:rsidRPr="00451AF8" w:rsidRDefault="00451AF8" w:rsidP="00521A36">
            <w:pPr>
              <w:jc w:val="center"/>
              <w:rPr>
                <w:rFonts w:ascii="Calibri" w:hAnsi="Calibri" w:cs="Calibri"/>
                <w:color w:val="000000"/>
                <w:sz w:val="20"/>
                <w:lang w:val="uk-UA" w:eastAsia="ru-RU"/>
              </w:rPr>
            </w:pPr>
          </w:p>
        </w:tc>
      </w:tr>
      <w:tr w:rsidR="00F45374" w:rsidRPr="005C5306" w14:paraId="59A4DD6F" w14:textId="77777777" w:rsidTr="005C5306">
        <w:trPr>
          <w:trHeight w:val="1675"/>
          <w:jc w:val="center"/>
        </w:trPr>
        <w:tc>
          <w:tcPr>
            <w:tcW w:w="0" w:type="auto"/>
            <w:vMerge/>
            <w:tcBorders>
              <w:top w:val="nil"/>
              <w:left w:val="single" w:sz="4" w:space="0" w:color="auto"/>
              <w:bottom w:val="single" w:sz="4" w:space="0" w:color="auto"/>
              <w:right w:val="single" w:sz="4" w:space="0" w:color="auto"/>
            </w:tcBorders>
            <w:vAlign w:val="center"/>
            <w:hideMark/>
          </w:tcPr>
          <w:p w14:paraId="6F435F5B" w14:textId="77777777" w:rsidR="00451AF8" w:rsidRPr="00451AF8" w:rsidRDefault="00451AF8" w:rsidP="005C5306">
            <w:pPr>
              <w:jc w:val="both"/>
              <w:rPr>
                <w:rFonts w:ascii="Calibri" w:hAnsi="Calibri" w:cs="Calibri"/>
                <w:b/>
                <w:color w:val="000000"/>
                <w:sz w:val="2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14:paraId="06AE243E" w14:textId="77777777" w:rsidR="00451AF8" w:rsidRPr="00451AF8" w:rsidRDefault="00451AF8" w:rsidP="005C5306">
            <w:pPr>
              <w:jc w:val="both"/>
              <w:rPr>
                <w:rFonts w:ascii="Calibri" w:hAnsi="Calibri" w:cs="Calibri"/>
                <w:color w:val="000000"/>
                <w:sz w:val="2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14:paraId="61B10D80" w14:textId="77777777" w:rsidR="00451AF8" w:rsidRPr="00451AF8" w:rsidRDefault="00451AF8" w:rsidP="005C5306">
            <w:pPr>
              <w:jc w:val="both"/>
              <w:rPr>
                <w:rFonts w:ascii="Calibri" w:hAnsi="Calibri" w:cs="Calibri"/>
                <w:color w:val="000000"/>
                <w:sz w:val="20"/>
                <w:lang w:val="uk-UA" w:eastAsia="ru-RU"/>
              </w:rPr>
            </w:pPr>
          </w:p>
        </w:tc>
        <w:tc>
          <w:tcPr>
            <w:tcW w:w="0" w:type="auto"/>
            <w:vMerge/>
            <w:tcBorders>
              <w:top w:val="nil"/>
              <w:left w:val="single" w:sz="4" w:space="0" w:color="auto"/>
              <w:bottom w:val="single" w:sz="4" w:space="0" w:color="auto"/>
              <w:right w:val="single" w:sz="4" w:space="0" w:color="auto"/>
            </w:tcBorders>
            <w:vAlign w:val="center"/>
            <w:hideMark/>
          </w:tcPr>
          <w:p w14:paraId="605FE36E" w14:textId="77777777" w:rsidR="00451AF8" w:rsidRPr="00451AF8" w:rsidRDefault="00451AF8" w:rsidP="00521A36">
            <w:pPr>
              <w:jc w:val="center"/>
              <w:rPr>
                <w:rFonts w:ascii="Calibri" w:hAnsi="Calibri" w:cs="Calibri"/>
                <w:color w:val="000000"/>
                <w:sz w:val="20"/>
                <w:lang w:val="uk-UA" w:eastAsia="ru-RU"/>
              </w:rPr>
            </w:pPr>
          </w:p>
        </w:tc>
      </w:tr>
    </w:tbl>
    <w:p w14:paraId="24CFC970" w14:textId="77777777" w:rsidR="00451AF8" w:rsidRPr="005C5306" w:rsidRDefault="00451AF8">
      <w:pPr>
        <w:rPr>
          <w:sz w:val="28"/>
        </w:rPr>
      </w:pPr>
    </w:p>
    <w:sectPr w:rsidR="00451AF8" w:rsidRPr="005C5306" w:rsidSect="00451AF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6200C"/>
    <w:multiLevelType w:val="hybridMultilevel"/>
    <w:tmpl w:val="C16AA5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AF8"/>
    <w:rsid w:val="000009A3"/>
    <w:rsid w:val="003A0841"/>
    <w:rsid w:val="003E58C6"/>
    <w:rsid w:val="0043565F"/>
    <w:rsid w:val="00451AF8"/>
    <w:rsid w:val="0051313B"/>
    <w:rsid w:val="00521A36"/>
    <w:rsid w:val="005C5306"/>
    <w:rsid w:val="007D5B21"/>
    <w:rsid w:val="00B0329D"/>
    <w:rsid w:val="00D7098C"/>
    <w:rsid w:val="00E663B9"/>
    <w:rsid w:val="00F45374"/>
    <w:rsid w:val="00F92498"/>
    <w:rsid w:val="00FE7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9F09F"/>
  <w15:chartTrackingRefBased/>
  <w15:docId w15:val="{70B3868F-B401-4367-A5D2-EF7092C9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9A3"/>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1AF8"/>
    <w:rPr>
      <w:color w:val="0563C1"/>
      <w:u w:val="single"/>
    </w:rPr>
  </w:style>
  <w:style w:type="paragraph" w:styleId="a4">
    <w:name w:val="List Paragraph"/>
    <w:basedOn w:val="a"/>
    <w:uiPriority w:val="34"/>
    <w:qFormat/>
    <w:rsid w:val="00E663B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72243">
      <w:bodyDiv w:val="1"/>
      <w:marLeft w:val="0"/>
      <w:marRight w:val="0"/>
      <w:marTop w:val="0"/>
      <w:marBottom w:val="0"/>
      <w:divBdr>
        <w:top w:val="none" w:sz="0" w:space="0" w:color="auto"/>
        <w:left w:val="none" w:sz="0" w:space="0" w:color="auto"/>
        <w:bottom w:val="none" w:sz="0" w:space="0" w:color="auto"/>
        <w:right w:val="none" w:sz="0" w:space="0" w:color="auto"/>
      </w:divBdr>
      <w:divsChild>
        <w:div w:id="304117983">
          <w:marLeft w:val="0"/>
          <w:marRight w:val="0"/>
          <w:marTop w:val="0"/>
          <w:marBottom w:val="150"/>
          <w:divBdr>
            <w:top w:val="none" w:sz="0" w:space="0" w:color="auto"/>
            <w:left w:val="none" w:sz="0" w:space="0" w:color="auto"/>
            <w:bottom w:val="none" w:sz="0" w:space="0" w:color="auto"/>
            <w:right w:val="none" w:sz="0" w:space="0" w:color="auto"/>
          </w:divBdr>
        </w:div>
      </w:divsChild>
    </w:div>
    <w:div w:id="94052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1.c1.rada.gov.ua/pls/zweb2/webproc4_1?pf3511=677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3633</Words>
  <Characters>2071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Гріцак Костянтин</dc:creator>
  <cp:keywords/>
  <dc:description/>
  <cp:lastModifiedBy>Марина Пригорницкая</cp:lastModifiedBy>
  <cp:revision>12</cp:revision>
  <dcterms:created xsi:type="dcterms:W3CDTF">2020-08-10T08:20:00Z</dcterms:created>
  <dcterms:modified xsi:type="dcterms:W3CDTF">2020-08-10T09:49:00Z</dcterms:modified>
</cp:coreProperties>
</file>