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452B" w14:textId="5438B5D3" w:rsidR="00EC54C9" w:rsidRPr="00E9796B" w:rsidRDefault="00EC54C9" w:rsidP="00EC54C9">
      <w:pPr>
        <w:spacing w:before="60" w:after="0" w:line="240" w:lineRule="auto"/>
        <w:ind w:firstLine="284"/>
        <w:jc w:val="right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E9796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Додаток до листа Телекомпалати від </w:t>
      </w:r>
      <w:r w:rsidR="0077695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</w:t>
      </w:r>
      <w:r w:rsidRPr="00E9796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.06.2020 № </w:t>
      </w:r>
      <w:r w:rsidR="0077695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2443</w:t>
      </w:r>
    </w:p>
    <w:p w14:paraId="43E76AEA" w14:textId="0E861B2D" w:rsidR="00D912D8" w:rsidRPr="00EC54C9" w:rsidRDefault="00D912D8" w:rsidP="00EC54C9">
      <w:pPr>
        <w:spacing w:before="6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C54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Порівняльна таблиця до проекту ЗУ</w:t>
      </w:r>
    </w:p>
    <w:p w14:paraId="2DF149C5" w14:textId="77777777" w:rsidR="007A7717" w:rsidRPr="00EC54C9" w:rsidRDefault="00D912D8" w:rsidP="00D912D8">
      <w:pPr>
        <w:spacing w:before="60"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en-GB"/>
        </w:rPr>
      </w:pPr>
      <w:r w:rsidRPr="00EC54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</w:t>
      </w:r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eastAsia="en-GB"/>
        </w:rPr>
        <w:t xml:space="preserve">Про </w:t>
      </w:r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val="ru-RU" w:eastAsia="en-GB"/>
        </w:rPr>
        <w:t xml:space="preserve">Службу </w:t>
      </w:r>
      <w:proofErr w:type="spellStart"/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val="ru-RU" w:eastAsia="en-GB"/>
        </w:rPr>
        <w:t>безпеки</w:t>
      </w:r>
      <w:proofErr w:type="spellEnd"/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val="ru-RU" w:eastAsia="en-GB"/>
        </w:rPr>
        <w:t xml:space="preserve"> Укра</w:t>
      </w:r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eastAsia="en-GB"/>
        </w:rPr>
        <w:t>ї</w:t>
      </w:r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val="ru-RU" w:eastAsia="en-GB"/>
        </w:rPr>
        <w:t>ни</w:t>
      </w:r>
      <w:r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eastAsia="en-GB"/>
        </w:rPr>
        <w:t>»</w:t>
      </w:r>
      <w:r w:rsidR="002750FA" w:rsidRPr="00EC54C9">
        <w:rPr>
          <w:rFonts w:ascii="Times New Roman" w:hAnsi="Times New Roman" w:cs="Times New Roman"/>
          <w:b/>
          <w:bCs/>
          <w:kern w:val="16"/>
          <w:sz w:val="24"/>
          <w:szCs w:val="24"/>
          <w:lang w:eastAsia="en-GB"/>
        </w:rPr>
        <w:t xml:space="preserve"> ( реєстр. № 3080)</w:t>
      </w:r>
    </w:p>
    <w:p w14:paraId="5399A332" w14:textId="4DA7054C" w:rsidR="00440747" w:rsidRPr="00EC54C9" w:rsidRDefault="00440747" w:rsidP="00D912D8">
      <w:pPr>
        <w:spacing w:before="60"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9796B" w:rsidRPr="00E9796B" w14:paraId="3A4C8BA2" w14:textId="77777777" w:rsidTr="00D912D8">
        <w:tc>
          <w:tcPr>
            <w:tcW w:w="4853" w:type="dxa"/>
          </w:tcPr>
          <w:p w14:paraId="55533BC8" w14:textId="29A61870" w:rsidR="00D912D8" w:rsidRPr="00E9796B" w:rsidRDefault="00192FE0" w:rsidP="001116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Редакція проекту акту</w:t>
            </w:r>
          </w:p>
        </w:tc>
        <w:tc>
          <w:tcPr>
            <w:tcW w:w="4853" w:type="dxa"/>
          </w:tcPr>
          <w:p w14:paraId="75295AD1" w14:textId="64044312" w:rsidR="00D912D8" w:rsidRPr="00E9796B" w:rsidRDefault="00192FE0" w:rsidP="001116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Редакція проекту акту із зауваженнями</w:t>
            </w:r>
          </w:p>
        </w:tc>
        <w:tc>
          <w:tcPr>
            <w:tcW w:w="4854" w:type="dxa"/>
          </w:tcPr>
          <w:p w14:paraId="4E8E0B19" w14:textId="128E0732" w:rsidR="00D912D8" w:rsidRPr="00E9796B" w:rsidRDefault="00192FE0" w:rsidP="001116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Обгрунтування</w:t>
            </w:r>
          </w:p>
        </w:tc>
      </w:tr>
      <w:tr w:rsidR="00E9796B" w:rsidRPr="00E9796B" w14:paraId="5E7251DA" w14:textId="77777777" w:rsidTr="00D912D8">
        <w:tc>
          <w:tcPr>
            <w:tcW w:w="4853" w:type="dxa"/>
          </w:tcPr>
          <w:p w14:paraId="7460426D" w14:textId="77777777" w:rsidR="000F0823" w:rsidRPr="00E9796B" w:rsidRDefault="000F0823" w:rsidP="000F0823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Стаття 7. Функції і повноваження органів, підрозділів та співробітників Служби безпеки України, що здійснюють контррозвідувальну діяльність</w:t>
            </w:r>
          </w:p>
          <w:p w14:paraId="2BE15845" w14:textId="77777777" w:rsidR="000F0823" w:rsidRPr="00E9796B" w:rsidRDefault="000F0823" w:rsidP="000F0823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7F040E87" w14:textId="77777777" w:rsidR="000F0823" w:rsidRPr="00E9796B" w:rsidRDefault="000F0823" w:rsidP="000F0823">
            <w:pPr>
              <w:spacing w:before="60"/>
              <w:ind w:firstLine="284"/>
              <w:jc w:val="both"/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96B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Для виконання визначених законом завдань та за наявності підстав, передбачених статтею 6 цього Закону, в ході контррозвідувальної діяльності органи, підрозділи та співробітники Служби безпеки України мають право:</w:t>
            </w:r>
          </w:p>
          <w:p w14:paraId="59AE4B79" w14:textId="77777777" w:rsidR="000F0823" w:rsidRPr="00E9796B" w:rsidRDefault="000F0823" w:rsidP="000F0823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96B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0E9259AB" w14:textId="77777777" w:rsidR="000F0823" w:rsidRPr="00E9796B" w:rsidRDefault="000F0823" w:rsidP="000F0823">
            <w:pPr>
              <w:tabs>
                <w:tab w:val="left" w:pos="0"/>
                <w:tab w:val="num" w:pos="142"/>
                <w:tab w:val="left" w:pos="567"/>
                <w:tab w:val="left" w:pos="993"/>
              </w:tabs>
              <w:ind w:left="2" w:firstLineChars="251" w:firstLine="6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«6) виключно з метою попередження, своєчасного виявлення і припинення розвідувальних, терористичних та інших посягань на державну безпеку України, отримання інформації в інтересах </w:t>
            </w:r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державної безпеки України здійснювати на підставі відповідної контррозвідувальної справи за ухвалою слідчого судді, постановленою за клопотанням керівника відповідного оперативного підрозділу </w:t>
            </w:r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Служби безпеки України, що здійснює контррозвідувальну діяльність, </w:t>
            </w:r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 його заступника, наступні заходи:</w:t>
            </w:r>
          </w:p>
          <w:p w14:paraId="1F86C080" w14:textId="77777777" w:rsidR="000F0823" w:rsidRPr="00E9796B" w:rsidRDefault="000F0823" w:rsidP="000F0823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а)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спостереження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за особою,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річчю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місцем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, яке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полягає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проведенні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візуального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спостереження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за особою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певною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річчю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місцем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публічно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доступних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місцях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фіксацією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відповідних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даних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;</w:t>
            </w:r>
          </w:p>
          <w:p w14:paraId="0F93BE01" w14:textId="77777777" w:rsidR="000F0823" w:rsidRPr="00E9796B" w:rsidRDefault="000F0823" w:rsidP="000F0823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lastRenderedPageBreak/>
              <w:t xml:space="preserve">б)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зняття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транспортних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телекомунікаційних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мереж, яке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полягає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проведенні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відбору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фіксації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змісту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передається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особою;</w:t>
            </w:r>
          </w:p>
          <w:p w14:paraId="25959F9E" w14:textId="77777777" w:rsidR="00D912D8" w:rsidRPr="00E9796B" w:rsidRDefault="00D91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53" w:type="dxa"/>
          </w:tcPr>
          <w:p w14:paraId="68F717F3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4D2A5B21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5366FD82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0BB590F8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11AC778A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9420F15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C852292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7FA45875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332B4905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0CB68452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5D8F057D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EB77F41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76788FF4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0DD57249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7781C15D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0FB11BAB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022BBF8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0E88DC55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5511DB9D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3D420B92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30084B67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D77B2CD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11C9B1B5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4E52FB57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5373DF2A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3D144240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70540F5E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953E9F1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426A20F8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458A92F9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45044F32" w14:textId="77777777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6B1365ED" w14:textId="5F339240" w:rsidR="000F0823" w:rsidRPr="00E9796B" w:rsidRDefault="000F0823" w:rsidP="00274B5E">
            <w:pPr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</w:pPr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lastRenderedPageBreak/>
              <w:t xml:space="preserve">б) на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74B5E"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ухвали</w:t>
            </w:r>
            <w:proofErr w:type="spellEnd"/>
            <w:r w:rsidR="00274B5E"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74B5E"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слідчого</w:t>
            </w:r>
            <w:proofErr w:type="spellEnd"/>
            <w:r w:rsidR="00274B5E"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суд</w:t>
            </w:r>
            <w:r w:rsidR="00274B5E"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ді</w:t>
            </w:r>
            <w:proofErr w:type="spellEnd"/>
            <w:r w:rsidRPr="00E97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зняття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транспортних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телекомунікаційних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мереж, яке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полягає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проведенні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відбору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фіксації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змісту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передається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 особою;</w:t>
            </w:r>
          </w:p>
          <w:p w14:paraId="78193B19" w14:textId="77777777" w:rsidR="00D912D8" w:rsidRPr="00E9796B" w:rsidRDefault="00D912D8" w:rsidP="0027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54" w:type="dxa"/>
          </w:tcPr>
          <w:p w14:paraId="137A502C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9D98752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984A3F7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26049127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B4636AD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3E42F35D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09716A07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33BB186C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903196B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26C19CFE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9769681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415A993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0C8A959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E539E4F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217E6B6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55A0EDA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D102913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8B1A30E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9BF8448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3F858403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68A3CA6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89F3DD3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3B6F38B9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0C8585D4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38CCE50C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443997A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BAD3A9E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B24E934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4F165696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520FC0A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A9909EF" w14:textId="77777777" w:rsidR="00727B36" w:rsidRPr="00E9796B" w:rsidRDefault="00727B36" w:rsidP="00274B5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AFD31F4" w14:textId="0D720791" w:rsidR="00D912D8" w:rsidRPr="00E9796B" w:rsidRDefault="00274B5E" w:rsidP="0027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Узгоджено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7-2 проекту Закону, де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вказано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контрозвідувальні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здійснюються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клопотанням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підставі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ухвали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слідчого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судді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E9796B" w:rsidRPr="00E9796B" w14:paraId="053A8935" w14:textId="77777777" w:rsidTr="004042AE">
        <w:tc>
          <w:tcPr>
            <w:tcW w:w="14560" w:type="dxa"/>
            <w:gridSpan w:val="3"/>
          </w:tcPr>
          <w:p w14:paraId="5F561A44" w14:textId="3E5B4060" w:rsidR="00EC54C9" w:rsidRPr="00E9796B" w:rsidRDefault="00EC54C9" w:rsidP="00EC5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Закон України “Про телекомунікації</w:t>
            </w:r>
          </w:p>
        </w:tc>
      </w:tr>
      <w:tr w:rsidR="00E9796B" w:rsidRPr="00E9796B" w14:paraId="2C3E168A" w14:textId="77777777" w:rsidTr="00D912D8">
        <w:tc>
          <w:tcPr>
            <w:tcW w:w="4853" w:type="dxa"/>
          </w:tcPr>
          <w:p w14:paraId="75D9D75C" w14:textId="77777777" w:rsidR="00A1262E" w:rsidRPr="00E9796B" w:rsidRDefault="00A1262E" w:rsidP="00A1262E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Стаття 39. Обов’язки операторів і провайдерів телекомунікацій</w:t>
            </w:r>
          </w:p>
          <w:p w14:paraId="4127E4B3" w14:textId="77777777" w:rsidR="00A1262E" w:rsidRPr="00E9796B" w:rsidRDefault="00A1262E" w:rsidP="00A1262E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31AE7C50" w14:textId="327D7FAB" w:rsidR="00D912D8" w:rsidRPr="00E9796B" w:rsidRDefault="00A1262E" w:rsidP="00A12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4. Оператори телекомунікацій зобов’язані за власні кошти встановлювати на своїх телекомунікаційних мережах технічні засоби, необхідні для здійснення </w:t>
            </w:r>
            <w:bookmarkStart w:id="0" w:name="_Hlk43120596"/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уповноваженими органами </w:t>
            </w:r>
            <w:bookmarkStart w:id="1" w:name="_Hlk43120686"/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оперативно-розшукових </w:t>
            </w: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 контррозвідувальних</w:t>
            </w:r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заходів</w:t>
            </w:r>
            <w:bookmarkEnd w:id="0"/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bookmarkEnd w:id="1"/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і забезпечувати функціонування цих технічних засобів, а також у межах своїх повноважень сприяти проведенню оперативно-розшукових </w:t>
            </w: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 контррозвідувальних</w:t>
            </w:r>
            <w:r w:rsidRPr="00E9796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заходів та недопущенню розголошення організаційних і тактичних прийомів їх проведення. Оператори телекомунікацій зобов’язані забезпечувати захист зазначених технічних засобів від несанкціонованого доступу.</w:t>
            </w:r>
          </w:p>
        </w:tc>
        <w:tc>
          <w:tcPr>
            <w:tcW w:w="4853" w:type="dxa"/>
          </w:tcPr>
          <w:p w14:paraId="1561D5FF" w14:textId="64829175" w:rsidR="008C64CE" w:rsidRPr="00E9796B" w:rsidRDefault="008C64CE" w:rsidP="008C64CE">
            <w:pPr>
              <w:tabs>
                <w:tab w:val="left" w:pos="7797"/>
                <w:tab w:val="left" w:pos="10980"/>
              </w:tabs>
              <w:jc w:val="both"/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96B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«4. Оператори телекомунікацій 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зобов’язані </w:t>
            </w: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забезпечити можливість підключення </w:t>
            </w:r>
            <w:r w:rsidRPr="00E9796B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до своїх телекомунікаційних мереж технічних засобів, необхідних для здійснення уповноваженими органами оперативно-розшукових заходів</w:t>
            </w:r>
            <w:r w:rsidR="002C58F9"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контррозвідувальних</w:t>
            </w:r>
            <w:r w:rsidRPr="00E9796B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, і забезпечувати функціонування цих технічних засобів, а також у межах своїх повноважень сприяти проведенню оперативно-розшукових заходів</w:t>
            </w:r>
            <w:r w:rsidR="002C58F9"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контррозвідувальних</w:t>
            </w:r>
            <w:r w:rsidRPr="00E9796B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недопущенню розголошення організаційних і тактичних прийомів їх проведення. Оператори телекомунікацій зобов’язані забезпечувати захист зазначених технічних засобів від несанкціонованого доступу.</w:t>
            </w:r>
          </w:p>
          <w:p w14:paraId="655B58D3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720"/>
                <w:tab w:val="left" w:pos="993"/>
              </w:tabs>
              <w:ind w:firstLine="17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Зняття інформації з транспортних телекомунікаційних мереж операторів телекомунікацій забезпечується єдиною системою технічних засобів, що використовується усіма уповноваженими на таке зняття органами, на умовах автономного доступу до інформації у порядку, визначеному законодавством.»</w:t>
            </w:r>
          </w:p>
          <w:p w14:paraId="0DE3DC89" w14:textId="77777777" w:rsidR="00D912D8" w:rsidRPr="00E9796B" w:rsidRDefault="00D91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14:paraId="569426CF" w14:textId="77777777" w:rsidR="008C64CE" w:rsidRPr="00E9796B" w:rsidRDefault="00A2132C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64CE"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З урахуванням того, що за останні місяці до ВР України подані вже чотири законопроекти, в яких пропонується внести зміни до частини четвертої ст.39 Закону України “Про телекомунікації” і зобов’язати операторів телекомунікацій </w:t>
            </w:r>
            <w:r w:rsidR="008C64CE"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за власні кошти</w:t>
            </w:r>
            <w:r w:rsidR="008C64CE"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встановлювати на своїх мережах технічні засоби, необхідні для здійснення вже не тільки оперативно-розшукових, а й </w:t>
            </w:r>
            <w:r w:rsidR="008C64CE" w:rsidRPr="00E979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контррозвідувальних, розвідувальних</w:t>
            </w:r>
            <w:r w:rsidR="008C64CE"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заходів та </w:t>
            </w:r>
            <w:r w:rsidR="008C64CE" w:rsidRPr="00E979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виявлення сигналів керування безпілотним повітряним судном</w:t>
            </w:r>
            <w:r w:rsidR="008C64CE"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, необхідно чітко </w:t>
            </w:r>
            <w:bookmarkStart w:id="2" w:name="_Hlk43120513"/>
            <w:r w:rsidR="008C64CE"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розділити повноваження операторів та уповноважених органів щодо:</w:t>
            </w:r>
          </w:p>
          <w:p w14:paraId="0CA1B535" w14:textId="77777777" w:rsidR="008C64CE" w:rsidRPr="00E9796B" w:rsidRDefault="008C64CE" w:rsidP="008C64CE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придбання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технічних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засобів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;</w:t>
            </w:r>
            <w:proofErr w:type="gramEnd"/>
          </w:p>
          <w:p w14:paraId="32B17C36" w14:textId="77777777" w:rsidR="008C64CE" w:rsidRPr="00E9796B" w:rsidRDefault="008C64CE" w:rsidP="008C64CE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17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встановлення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технічних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засобів</w:t>
            </w:r>
            <w:bookmarkEnd w:id="2"/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  <w:p w14:paraId="5DF6E1CE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Chars="251" w:firstLine="60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зв’язку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цим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пропонується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новій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редакціі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частини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4 ст.39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зазначити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що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оператори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телекомунікацій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забезпечують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можливість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технічних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засобів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уповноважених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органів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. </w:t>
            </w:r>
            <w:bookmarkStart w:id="3" w:name="_Hlk43121049"/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Ці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органи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самостійно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обирають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здійснюють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придбання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технічних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засобів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виходячи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із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своїх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поставлених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перед ними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завдань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що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забезпечить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виконання функцій держави за рахунок господарюючих суб’єктів, що може бути трактовано як порушення приватної власності, втручання держави у приватну власність.</w:t>
            </w:r>
          </w:p>
          <w:bookmarkEnd w:id="3"/>
          <w:p w14:paraId="634192E5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Так у 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ст. 1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Першого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протоколу до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Конвенці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ї</w:t>
            </w:r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захист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людини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основоположних</w:t>
            </w:r>
            <w:proofErr w:type="spellEnd"/>
            <w:r w:rsidRPr="00E97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свобод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 Рим, 4.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XI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.1950.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зазначено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65AD4D15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«Держава повинна здійснити дійсну компенсацію вартості майна, якого вона позбавляє, а така експропріація повинна здійснюватися виключно у суспільних інтересах; дійсні та реальні обмеження, встановлені Державою щодо реалізації права власності, можуть бути de facto визнані порушенням ст. 1 Першого протоколу до Конвенції.»</w:t>
            </w:r>
          </w:p>
          <w:p w14:paraId="4472FC11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Так, у справі Рисовський проти України (Rysovskyy v. Ukraine), заява №</w:t>
            </w:r>
            <w:hyperlink r:id="rId5" w:anchor="%7B%22appno%22:%5B%2229979/04%22%5D%7D" w:history="1">
              <w:r w:rsidRPr="00E9796B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29979/04</w:t>
              </w:r>
            </w:hyperlink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§71, рішення від 20.10.2011 р.), суд вказав, що позбавлення майна без компенсації його реальної вартості є порушенням такого балансу та покладає надмірний тягар на заявника.</w:t>
            </w:r>
          </w:p>
          <w:p w14:paraId="0A3CDF10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Норми Конвенції про захист права власності поширюються і на юридичних осіб.</w:t>
            </w:r>
          </w:p>
          <w:p w14:paraId="5C4615D8" w14:textId="77777777" w:rsidR="008C64CE" w:rsidRPr="00E9796B" w:rsidRDefault="008C64CE" w:rsidP="008C64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до ст. 34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Конвенції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, ЄСПЛ «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приймати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заяви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якої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неурядової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групи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осіб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», а ст. 1 Протоколу № 1 до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Конвенції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[6] говорить про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захист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власності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фізичних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юридичних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осіб</w:t>
            </w:r>
            <w:proofErr w:type="spellEnd"/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7C0DFAE" w14:textId="77777777" w:rsidR="008C64CE" w:rsidRPr="00E9796B" w:rsidRDefault="008C64CE" w:rsidP="008C64CE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Chars="251" w:firstLine="60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</w:pP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Також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пропонується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визначити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порядок </w:t>
            </w:r>
            <w:proofErr w:type="spellStart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зняття</w:t>
            </w:r>
            <w:proofErr w:type="spellEnd"/>
            <w:r w:rsidRPr="00E9796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 w:rsidRPr="00E9796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інформації з транспортних телекомунікаційних мереж операторів телекомунікацій окремим(ми) нормативно-правовим(ми) актом(ми).</w:t>
            </w:r>
          </w:p>
          <w:p w14:paraId="79903494" w14:textId="0D51D262" w:rsidR="00A1262E" w:rsidRPr="00E9796B" w:rsidRDefault="00A1262E" w:rsidP="00A12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14:paraId="454858F7" w14:textId="77777777" w:rsidR="00D912D8" w:rsidRPr="00EC54C9" w:rsidRDefault="00D912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5FDDF4E" w14:textId="77777777" w:rsidR="00D71F8B" w:rsidRPr="00EC54C9" w:rsidRDefault="00D71F8B">
      <w:pPr>
        <w:rPr>
          <w:rFonts w:ascii="Times New Roman" w:hAnsi="Times New Roman" w:cs="Times New Roman"/>
          <w:sz w:val="24"/>
          <w:szCs w:val="24"/>
        </w:rPr>
      </w:pPr>
    </w:p>
    <w:sectPr w:rsidR="00D71F8B" w:rsidRPr="00EC54C9" w:rsidSect="00EC54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239"/>
    <w:multiLevelType w:val="hybridMultilevel"/>
    <w:tmpl w:val="0012071A"/>
    <w:lvl w:ilvl="0" w:tplc="8F68FF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8B"/>
    <w:rsid w:val="000F0823"/>
    <w:rsid w:val="0011167E"/>
    <w:rsid w:val="001371FB"/>
    <w:rsid w:val="001508F8"/>
    <w:rsid w:val="00192FE0"/>
    <w:rsid w:val="00264F64"/>
    <w:rsid w:val="00274B5E"/>
    <w:rsid w:val="002750FA"/>
    <w:rsid w:val="002C58F9"/>
    <w:rsid w:val="00440747"/>
    <w:rsid w:val="00727B36"/>
    <w:rsid w:val="007642FC"/>
    <w:rsid w:val="00776954"/>
    <w:rsid w:val="007A7717"/>
    <w:rsid w:val="008C64CE"/>
    <w:rsid w:val="009269B9"/>
    <w:rsid w:val="00A1262E"/>
    <w:rsid w:val="00A2132C"/>
    <w:rsid w:val="00BA6092"/>
    <w:rsid w:val="00D71F8B"/>
    <w:rsid w:val="00D912D8"/>
    <w:rsid w:val="00DA3DA6"/>
    <w:rsid w:val="00E05217"/>
    <w:rsid w:val="00E9796B"/>
    <w:rsid w:val="00E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314"/>
  <w15:chartTrackingRefBased/>
  <w15:docId w15:val="{3D02C46F-43ED-41AD-A820-A714909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08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0F0823"/>
    <w:rPr>
      <w:rFonts w:cs="Times New Roman"/>
    </w:rPr>
  </w:style>
  <w:style w:type="paragraph" w:styleId="a6">
    <w:name w:val="List Paragraph"/>
    <w:basedOn w:val="a"/>
    <w:uiPriority w:val="99"/>
    <w:qFormat/>
    <w:rsid w:val="008C64CE"/>
    <w:pPr>
      <w:ind w:left="708"/>
    </w:pPr>
    <w:rPr>
      <w:rFonts w:ascii="Calibri" w:eastAsia="Times New Roman" w:hAnsi="Calibri" w:cs="Calibri"/>
      <w:lang w:val="en-US"/>
    </w:rPr>
  </w:style>
  <w:style w:type="character" w:styleId="a7">
    <w:name w:val="Hyperlink"/>
    <w:basedOn w:val="a0"/>
    <w:uiPriority w:val="99"/>
    <w:rsid w:val="008C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 Новак</dc:creator>
  <cp:keywords/>
  <dc:description/>
  <cp:lastModifiedBy>Марина Пригорницкая</cp:lastModifiedBy>
  <cp:revision>22</cp:revision>
  <dcterms:created xsi:type="dcterms:W3CDTF">2020-06-01T09:48:00Z</dcterms:created>
  <dcterms:modified xsi:type="dcterms:W3CDTF">2020-06-16T13:14:00Z</dcterms:modified>
</cp:coreProperties>
</file>