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42"/>
        <w:jc w:val="center"/>
        <w:outlineLvl w:val="0"/>
        <w:rPr>
          <w:b/>
          <w:caps/>
          <w:lang w:eastAsia="ru-RU"/>
        </w:rPr>
      </w:pPr>
    </w:p>
    <w:p>
      <w:pPr>
        <w:ind w:left="142"/>
        <w:jc w:val="center"/>
        <w:outlineLvl w:val="0"/>
        <w:rPr>
          <w:b/>
          <w:caps/>
          <w:lang w:eastAsia="ru-RU"/>
        </w:rPr>
      </w:pPr>
    </w:p>
    <w:p>
      <w:pPr>
        <w:ind w:left="142"/>
        <w:jc w:val="center"/>
        <w:outlineLvl w:val="0"/>
        <w:rPr>
          <w:b/>
          <w:caps/>
          <w:lang w:eastAsia="ru-RU"/>
        </w:rPr>
      </w:pPr>
    </w:p>
    <w:p>
      <w:pPr>
        <w:ind w:left="142"/>
        <w:jc w:val="center"/>
        <w:outlineLvl w:val="0"/>
        <w:rPr>
          <w:b/>
          <w:caps/>
          <w:lang w:eastAsia="ru-RU"/>
        </w:rPr>
      </w:pPr>
    </w:p>
    <w:p>
      <w:pPr>
        <w:ind w:left="142"/>
        <w:jc w:val="right"/>
        <w:outlineLvl w:val="0"/>
        <w:rPr>
          <w:b/>
          <w:lang w:eastAsia="ru-RU"/>
        </w:rPr>
      </w:pPr>
      <w:r>
        <w:rPr>
          <w:b/>
          <w:lang w:eastAsia="ru-RU"/>
        </w:rPr>
        <w:t xml:space="preserve">додаток до листа Телекомунікаційної палати України </w:t>
      </w:r>
    </w:p>
    <w:p>
      <w:pPr>
        <w:ind w:left="142"/>
        <w:jc w:val="right"/>
        <w:outlineLvl w:val="0"/>
        <w:rPr>
          <w:b/>
          <w:caps/>
          <w:lang w:eastAsia="ru-RU"/>
        </w:rPr>
      </w:pPr>
      <w:r>
        <w:rPr>
          <w:b/>
          <w:lang w:eastAsia="ru-RU"/>
        </w:rPr>
        <w:t>від 07.02.2018 № 2247/1</w:t>
      </w:r>
      <w:bookmarkStart w:id="0" w:name="_GoBack"/>
      <w:bookmarkEnd w:id="0"/>
    </w:p>
    <w:p>
      <w:pPr>
        <w:ind w:left="142"/>
        <w:jc w:val="right"/>
        <w:outlineLvl w:val="0"/>
        <w:rPr>
          <w:b/>
          <w:caps/>
          <w:lang w:eastAsia="ru-RU"/>
        </w:rPr>
      </w:pPr>
    </w:p>
    <w:p>
      <w:pPr>
        <w:ind w:left="142"/>
        <w:jc w:val="center"/>
        <w:outlineLvl w:val="0"/>
        <w:rPr>
          <w:b/>
          <w:caps/>
          <w:lang w:eastAsia="ru-RU"/>
        </w:rPr>
      </w:pPr>
    </w:p>
    <w:p>
      <w:pPr>
        <w:ind w:left="142"/>
        <w:jc w:val="center"/>
        <w:outlineLvl w:val="0"/>
        <w:rPr>
          <w:b/>
          <w:caps/>
          <w:sz w:val="28"/>
          <w:lang w:eastAsia="ru-RU"/>
        </w:rPr>
      </w:pPr>
      <w:r>
        <w:rPr>
          <w:b/>
          <w:caps/>
          <w:sz w:val="28"/>
          <w:lang w:eastAsia="ru-RU"/>
        </w:rPr>
        <w:t xml:space="preserve">Порівняльна таблиця </w:t>
      </w:r>
    </w:p>
    <w:p>
      <w:pPr>
        <w:pStyle w:val="a3"/>
        <w:spacing w:before="0" w:after="0"/>
        <w:rPr>
          <w:bCs w:val="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проекту Закону України «Про внесення змін до Закону України</w:t>
      </w:r>
    </w:p>
    <w:p>
      <w:pPr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«Про доступ до об'єктів будівництва, транспорту, електроенергетики</w:t>
      </w:r>
    </w:p>
    <w:p>
      <w:pPr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з метою розвитку телекомунікаційних мереж»</w:t>
      </w:r>
    </w:p>
    <w:p>
      <w:pPr>
        <w:jc w:val="center"/>
        <w:rPr>
          <w:b/>
          <w:bCs/>
          <w:lang w:eastAsia="zh-CN"/>
        </w:rPr>
      </w:pPr>
    </w:p>
    <w:p>
      <w:pPr>
        <w:jc w:val="center"/>
        <w:rPr>
          <w:b/>
          <w:bCs/>
          <w:lang w:eastAsia="zh-C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7371"/>
      </w:tblGrid>
      <w:tr>
        <w:trPr>
          <w:trHeight w:val="125"/>
        </w:trPr>
        <w:tc>
          <w:tcPr>
            <w:tcW w:w="7366" w:type="dxa"/>
            <w:vAlign w:val="center"/>
          </w:tcPr>
          <w:p>
            <w:pPr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Зміст положення (норми) чинного законодавства </w:t>
            </w:r>
          </w:p>
        </w:tc>
        <w:tc>
          <w:tcPr>
            <w:tcW w:w="7371" w:type="dxa"/>
            <w:vAlign w:val="center"/>
          </w:tcPr>
          <w:p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Зміст положення (норми) запропонованого проекту</w:t>
            </w:r>
          </w:p>
        </w:tc>
      </w:tr>
      <w:tr>
        <w:trPr>
          <w:trHeight w:val="125"/>
        </w:trPr>
        <w:tc>
          <w:tcPr>
            <w:tcW w:w="7366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28"/>
                <w:lang w:eastAsia="ru-RU"/>
              </w:rPr>
            </w:pPr>
          </w:p>
        </w:tc>
        <w:tc>
          <w:tcPr>
            <w:tcW w:w="7371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28"/>
                <w:lang w:eastAsia="ru-RU"/>
              </w:rPr>
            </w:pPr>
          </w:p>
        </w:tc>
      </w:tr>
      <w:tr>
        <w:trPr>
          <w:trHeight w:val="125"/>
        </w:trPr>
        <w:tc>
          <w:tcPr>
            <w:tcW w:w="7366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Стаття 17. Особливості визначення плати за доступ до елементів інфраструктури об'єкта доступу</w:t>
            </w:r>
          </w:p>
        </w:tc>
        <w:tc>
          <w:tcPr>
            <w:tcW w:w="7371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Стаття 17. Особливості визначення плати за доступ до елементів інфраструктури об'єкта доступу</w:t>
            </w:r>
          </w:p>
        </w:tc>
      </w:tr>
      <w:tr>
        <w:trPr>
          <w:trHeight w:val="125"/>
        </w:trPr>
        <w:tc>
          <w:tcPr>
            <w:tcW w:w="7366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5. Методика визначення плати за доступ до елементів інфраструктури об'єкта доступу має, зокрема, встановлювати:</w:t>
            </w:r>
          </w:p>
        </w:tc>
        <w:tc>
          <w:tcPr>
            <w:tcW w:w="7371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>…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>5. Методика визначення плати за доступ до елементів інфраструктури об'єкта доступу має, зокрема, встановлювати:</w:t>
            </w:r>
          </w:p>
        </w:tc>
      </w:tr>
      <w:tr>
        <w:trPr>
          <w:trHeight w:val="125"/>
        </w:trPr>
        <w:tc>
          <w:tcPr>
            <w:tcW w:w="7366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4) механізм визначення розміру плати за доступ у вигляді формули із пропорційним розподілом витрат власника інфраструктури об'єкта доступу між замовниками</w:t>
            </w:r>
            <w:r>
              <w:rPr>
                <w:strike/>
                <w:sz w:val="28"/>
              </w:rPr>
              <w:t xml:space="preserve">, якщо вони використовують одні й ті самі </w:t>
            </w:r>
            <w:r>
              <w:rPr>
                <w:b/>
                <w:strike/>
                <w:sz w:val="28"/>
              </w:rPr>
              <w:t>елементи</w:t>
            </w:r>
            <w:r>
              <w:rPr>
                <w:strike/>
                <w:sz w:val="28"/>
              </w:rPr>
              <w:t xml:space="preserve"> інфраструктури об'єкта доступу;</w:t>
            </w:r>
          </w:p>
        </w:tc>
        <w:tc>
          <w:tcPr>
            <w:tcW w:w="7371" w:type="dxa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sz w:val="28"/>
                <w:lang w:val="ru-RU" w:eastAsia="ru-RU"/>
              </w:rPr>
            </w:pPr>
            <w:r>
              <w:rPr>
                <w:bCs/>
                <w:sz w:val="28"/>
                <w:lang w:eastAsia="ru-RU"/>
              </w:rPr>
              <w:t>4) механізм визначення розміру плати за доступ у вигляді формули із пропорційним розподілом витрат власника інфраструктури об'єкта доступу між замовниками</w:t>
            </w:r>
            <w:r>
              <w:rPr>
                <w:bCs/>
                <w:sz w:val="28"/>
                <w:lang w:val="ru-RU" w:eastAsia="ru-RU"/>
              </w:rPr>
              <w:t>.</w:t>
            </w:r>
          </w:p>
        </w:tc>
      </w:tr>
    </w:tbl>
    <w:p/>
    <w:sectPr>
      <w:pgSz w:w="16838" w:h="11906" w:orient="landscape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8DAC-9752-4C48-BC79-0D81294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pPr>
      <w:keepNext/>
      <w:keepLines/>
      <w:suppressAutoHyphens/>
      <w:spacing w:before="360" w:after="360"/>
      <w:jc w:val="center"/>
    </w:pPr>
    <w:rPr>
      <w:rFonts w:ascii="Antiqua" w:hAnsi="Antiqua" w:cs="Antiqua"/>
      <w:b/>
      <w:bCs/>
      <w:sz w:val="26"/>
      <w:szCs w:val="26"/>
      <w:lang w:eastAsia="zh-CN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Майданник Дмитро</dc:creator>
  <cp:keywords/>
  <dc:description/>
  <cp:lastModifiedBy>Коваленко Тетяна</cp:lastModifiedBy>
  <cp:revision>8</cp:revision>
  <cp:lastPrinted>2018-02-07T10:34:00Z</cp:lastPrinted>
  <dcterms:created xsi:type="dcterms:W3CDTF">2018-02-07T09:39:00Z</dcterms:created>
  <dcterms:modified xsi:type="dcterms:W3CDTF">2018-02-07T10:36:00Z</dcterms:modified>
</cp:coreProperties>
</file>