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right"/>
        <w:rPr>
          <w:rFonts w:ascii="Times New Roman" w:hAnsi="Times New Roman" w:cs="Times New Roman"/>
          <w:i/>
          <w:sz w:val="24"/>
          <w:szCs w:val="24"/>
          <w:lang w:val="uk-UA"/>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lang w:val="uk-UA"/>
        </w:rPr>
        <w:t>Додаток до листа від 09.10.2017р. № 2222/1</w:t>
      </w:r>
    </w:p>
    <w:p>
      <w:pPr>
        <w:spacing w:after="0"/>
        <w:jc w:val="right"/>
        <w:rPr>
          <w:rFonts w:ascii="Times New Roman" w:hAnsi="Times New Roman" w:cs="Times New Roman"/>
          <w:i/>
          <w:sz w:val="24"/>
          <w:szCs w:val="24"/>
          <w:lang w:val="uk-UA"/>
        </w:rPr>
      </w:pPr>
      <w:bookmarkStart w:id="0" w:name="_GoBack"/>
      <w:bookmarkEnd w:id="0"/>
    </w:p>
    <w:p>
      <w:pPr>
        <w:spacing w:after="0"/>
        <w:jc w:val="center"/>
        <w:rPr>
          <w:rFonts w:ascii="Times New Roman" w:hAnsi="Times New Roman" w:cs="Times New Roman"/>
          <w:b/>
          <w:sz w:val="24"/>
          <w:szCs w:val="24"/>
        </w:rPr>
      </w:pPr>
      <w:r>
        <w:rPr>
          <w:rFonts w:ascii="Times New Roman" w:hAnsi="Times New Roman" w:cs="Times New Roman"/>
          <w:b/>
          <w:sz w:val="24"/>
          <w:szCs w:val="24"/>
        </w:rPr>
        <w:t>Пор</w:t>
      </w:r>
      <w:r>
        <w:rPr>
          <w:rFonts w:ascii="Times New Roman" w:hAnsi="Times New Roman" w:cs="Times New Roman"/>
          <w:b/>
          <w:sz w:val="24"/>
          <w:szCs w:val="24"/>
          <w:lang w:val="uk-UA"/>
        </w:rPr>
        <w:t>івняльна таблиця пропозиці</w:t>
      </w:r>
      <w:r>
        <w:rPr>
          <w:rFonts w:ascii="Times New Roman" w:hAnsi="Times New Roman" w:cs="Times New Roman"/>
          <w:b/>
          <w:sz w:val="24"/>
          <w:szCs w:val="24"/>
        </w:rPr>
        <w:t>й до</w:t>
      </w:r>
      <w:r>
        <w:rPr>
          <w:rFonts w:ascii="Times New Roman" w:hAnsi="Times New Roman" w:cs="Times New Roman"/>
          <w:b/>
          <w:sz w:val="24"/>
          <w:szCs w:val="24"/>
          <w:lang w:val="uk-UA"/>
        </w:rPr>
        <w:t xml:space="preserve"> </w:t>
      </w:r>
      <w:r>
        <w:rPr>
          <w:rFonts w:ascii="Times New Roman" w:hAnsi="Times New Roman" w:cs="Times New Roman"/>
          <w:b/>
          <w:sz w:val="24"/>
          <w:szCs w:val="24"/>
        </w:rPr>
        <w:t xml:space="preserve">ПРАВИЛ </w:t>
      </w:r>
    </w:p>
    <w:p>
      <w:pPr>
        <w:spacing w:after="0"/>
        <w:jc w:val="center"/>
        <w:rPr>
          <w:rFonts w:ascii="Times New Roman" w:hAnsi="Times New Roman" w:cs="Times New Roman"/>
          <w:b/>
          <w:sz w:val="24"/>
          <w:szCs w:val="24"/>
          <w:lang w:val="uk-UA"/>
        </w:rPr>
      </w:pPr>
      <w:r>
        <w:rPr>
          <w:rFonts w:ascii="Times New Roman" w:hAnsi="Times New Roman" w:cs="Times New Roman"/>
          <w:b/>
          <w:sz w:val="24"/>
          <w:szCs w:val="24"/>
        </w:rPr>
        <w:t>надання доступу до інфраструктури будинкової розподільної мережі</w:t>
      </w:r>
      <w:r>
        <w:rPr>
          <w:rFonts w:ascii="Times New Roman" w:hAnsi="Times New Roman" w:cs="Times New Roman"/>
          <w:b/>
          <w:sz w:val="24"/>
          <w:szCs w:val="24"/>
          <w:lang w:val="uk-UA"/>
        </w:rPr>
        <w:t xml:space="preserve"> </w:t>
      </w:r>
    </w:p>
    <w:p>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524"/>
        <w:gridCol w:w="5670"/>
        <w:gridCol w:w="3366"/>
      </w:tblGrid>
      <w:tr>
        <w:tc>
          <w:tcPr>
            <w:tcW w:w="5524" w:type="dxa"/>
          </w:tcPr>
          <w:p>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Положення проекту Правил</w:t>
            </w:r>
          </w:p>
        </w:tc>
        <w:tc>
          <w:tcPr>
            <w:tcW w:w="5670" w:type="dxa"/>
          </w:tcPr>
          <w:p>
            <w:pPr>
              <w:jc w:val="center"/>
              <w:rPr>
                <w:rFonts w:ascii="Times New Roman" w:hAnsi="Times New Roman" w:cs="Times New Roman"/>
                <w:b/>
                <w:sz w:val="24"/>
                <w:szCs w:val="24"/>
              </w:rPr>
            </w:pPr>
            <w:r>
              <w:rPr>
                <w:rFonts w:ascii="Times New Roman" w:hAnsi="Times New Roman" w:cs="Times New Roman"/>
                <w:b/>
                <w:sz w:val="24"/>
                <w:szCs w:val="24"/>
                <w:lang w:val="uk-UA"/>
              </w:rPr>
              <w:t>Положення проекту Правил із пропозиціями Телекомпалати</w:t>
            </w:r>
          </w:p>
        </w:tc>
        <w:tc>
          <w:tcPr>
            <w:tcW w:w="3366" w:type="dxa"/>
          </w:tcPr>
          <w:p>
            <w:pPr>
              <w:jc w:val="center"/>
              <w:rPr>
                <w:rFonts w:ascii="Times New Roman" w:hAnsi="Times New Roman" w:cs="Times New Roman"/>
                <w:b/>
                <w:sz w:val="24"/>
                <w:szCs w:val="24"/>
                <w:lang w:val="uk-UA"/>
              </w:rPr>
            </w:pPr>
            <w:r>
              <w:rPr>
                <w:rFonts w:ascii="Times New Roman" w:hAnsi="Times New Roman" w:cs="Times New Roman"/>
                <w:b/>
                <w:sz w:val="24"/>
                <w:szCs w:val="24"/>
                <w:lang w:val="uk-UA"/>
              </w:rPr>
              <w:t>Обґрунтування</w:t>
            </w: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 xml:space="preserve">І. Загальні положення </w:t>
            </w:r>
          </w:p>
          <w:p>
            <w:pPr>
              <w:jc w:val="both"/>
              <w:rPr>
                <w:rFonts w:ascii="Times New Roman" w:hAnsi="Times New Roman" w:cs="Times New Roman"/>
                <w:sz w:val="24"/>
                <w:szCs w:val="24"/>
              </w:rPr>
            </w:pPr>
            <w:r>
              <w:rPr>
                <w:rFonts w:ascii="Times New Roman" w:hAnsi="Times New Roman" w:cs="Times New Roman"/>
                <w:sz w:val="24"/>
                <w:szCs w:val="24"/>
              </w:rPr>
              <w:t xml:space="preserve">1. Ці Правила встановлюють загальний порядок щодо здійснення доступу до інфраструктури будинкової розподільної мережі (далі – БРМ) </w:t>
            </w:r>
            <w:r>
              <w:rPr>
                <w:rFonts w:ascii="Times New Roman" w:hAnsi="Times New Roman" w:cs="Times New Roman"/>
                <w:i/>
                <w:sz w:val="24"/>
                <w:szCs w:val="24"/>
              </w:rPr>
              <w:t>незалежно від форми власності.</w:t>
            </w:r>
            <w:r>
              <w:rPr>
                <w:rFonts w:ascii="Times New Roman" w:hAnsi="Times New Roman" w:cs="Times New Roman"/>
                <w:sz w:val="24"/>
                <w:szCs w:val="24"/>
              </w:rPr>
              <w:t xml:space="preserve"> </w:t>
            </w:r>
          </w:p>
          <w:p>
            <w:pPr>
              <w:jc w:val="both"/>
              <w:rPr>
                <w:rFonts w:ascii="Times New Roman" w:hAnsi="Times New Roman" w:cs="Times New Roman"/>
                <w:sz w:val="24"/>
                <w:szCs w:val="24"/>
              </w:rPr>
            </w:pPr>
          </w:p>
        </w:tc>
        <w:tc>
          <w:tcPr>
            <w:tcW w:w="5670" w:type="dxa"/>
          </w:tcPr>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1. Ці Правила встановлюють загальний порядок щодо здійснення доступу до інфраструктури будинкової розподільної мережі (далі – БРМ), </w:t>
            </w:r>
            <w:r>
              <w:rPr>
                <w:rFonts w:ascii="Times New Roman" w:hAnsi="Times New Roman" w:cs="Times New Roman"/>
                <w:b/>
                <w:sz w:val="24"/>
                <w:szCs w:val="24"/>
              </w:rPr>
              <w:t xml:space="preserve">яка не перебуває у власності операторів, провайдерів </w:t>
            </w:r>
            <w:proofErr w:type="gramStart"/>
            <w:r>
              <w:rPr>
                <w:rFonts w:ascii="Times New Roman" w:hAnsi="Times New Roman" w:cs="Times New Roman"/>
                <w:b/>
                <w:sz w:val="24"/>
                <w:szCs w:val="24"/>
              </w:rPr>
              <w:t>телекомунікацій</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pPr>
              <w:jc w:val="both"/>
              <w:rPr>
                <w:rFonts w:ascii="Times New Roman" w:hAnsi="Times New Roman" w:cs="Times New Roman"/>
                <w:sz w:val="24"/>
                <w:szCs w:val="24"/>
              </w:rPr>
            </w:pPr>
          </w:p>
        </w:tc>
        <w:tc>
          <w:tcPr>
            <w:tcW w:w="3366" w:type="dxa"/>
          </w:tcPr>
          <w:p>
            <w:pPr>
              <w:pStyle w:val="rvps2"/>
              <w:shd w:val="clear" w:color="auto" w:fill="FFFFFF"/>
              <w:spacing w:before="0" w:beforeAutospacing="0" w:after="0" w:afterAutospacing="0"/>
              <w:ind w:firstLine="450"/>
              <w:jc w:val="both"/>
              <w:textAlignment w:val="baseline"/>
              <w:rPr>
                <w:rFonts w:eastAsiaTheme="minorHAnsi"/>
                <w:lang w:val="uk-UA" w:eastAsia="en-US"/>
              </w:rPr>
            </w:pPr>
            <w:r>
              <w:rPr>
                <w:color w:val="000000" w:themeColor="text1"/>
                <w:shd w:val="clear" w:color="auto" w:fill="FFFFFF"/>
                <w:lang w:val="uk-UA"/>
              </w:rPr>
              <w:t xml:space="preserve">Частиною другою статті 3 Закону України «Про доступ до об’єктів будівництва, транспорту, електроенергетики з метою розвитку телекомунікаційних мереж»: </w:t>
            </w:r>
            <w:r>
              <w:rPr>
                <w:rFonts w:eastAsiaTheme="minorHAnsi"/>
                <w:lang w:val="uk-UA" w:eastAsia="en-US"/>
              </w:rPr>
              <w:t xml:space="preserve">встановлено, що </w:t>
            </w:r>
          </w:p>
          <w:p>
            <w:pPr>
              <w:pStyle w:val="rvps2"/>
              <w:shd w:val="clear" w:color="auto" w:fill="FFFFFF"/>
              <w:spacing w:before="0" w:beforeAutospacing="0" w:after="0" w:afterAutospacing="0"/>
              <w:ind w:firstLine="450"/>
              <w:jc w:val="both"/>
              <w:textAlignment w:val="baseline"/>
              <w:rPr>
                <w:rFonts w:eastAsiaTheme="minorHAnsi"/>
                <w:b/>
                <w:lang w:val="uk-UA" w:eastAsia="en-US"/>
              </w:rPr>
            </w:pPr>
            <w:bookmarkStart w:id="1" w:name="n32"/>
            <w:bookmarkStart w:id="2" w:name="n33"/>
            <w:bookmarkEnd w:id="1"/>
            <w:bookmarkEnd w:id="2"/>
            <w:r>
              <w:rPr>
                <w:rFonts w:eastAsiaTheme="minorHAnsi"/>
                <w:lang w:val="uk-UA" w:eastAsia="en-US"/>
              </w:rPr>
              <w:t xml:space="preserve">2. </w:t>
            </w:r>
            <w:r>
              <w:rPr>
                <w:rFonts w:eastAsiaTheme="minorHAnsi"/>
                <w:b/>
                <w:lang w:val="uk-UA" w:eastAsia="en-US"/>
              </w:rPr>
              <w:t>Дія цього Закону не поширюється на відносини</w:t>
            </w:r>
            <w:r>
              <w:rPr>
                <w:rFonts w:eastAsiaTheme="minorHAnsi"/>
                <w:lang w:val="uk-UA" w:eastAsia="en-US"/>
              </w:rPr>
              <w:t xml:space="preserve"> з доступу до споруд електрозв’язку, будинкової розподільної мережі та кабельної каналізації електрозв’язку, </w:t>
            </w:r>
            <w:r>
              <w:rPr>
                <w:rFonts w:eastAsiaTheme="minorHAnsi"/>
                <w:b/>
                <w:lang w:val="uk-UA" w:eastAsia="en-US"/>
              </w:rPr>
              <w:t>що перебувають у власності операторів, провайдерів телекомунікацій.</w:t>
            </w:r>
          </w:p>
          <w:p>
            <w:pPr>
              <w:jc w:val="both"/>
              <w:rPr>
                <w:rFonts w:ascii="Times New Roman" w:hAnsi="Times New Roman" w:cs="Times New Roman"/>
                <w:sz w:val="24"/>
                <w:szCs w:val="24"/>
                <w:lang w:val="uk-UA"/>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2. У цих Правилах терміни вживаються у значенні, наведеному у Законах України «Про доступ до об’єктів будівництва, транспорту, електроенергетики з метою розвитку телекомунікаційних мереж», «Про телекомунікації», «Про особливості здійснення права власності у багатоквартирному будинку», «Про об’єднання співвласників багатоквартирного будинку», «Про регулювання містобудівної діяльності». </w:t>
            </w:r>
          </w:p>
          <w:p>
            <w:pPr>
              <w:jc w:val="both"/>
              <w:rPr>
                <w:rFonts w:ascii="Times New Roman" w:hAnsi="Times New Roman" w:cs="Times New Roman"/>
                <w:sz w:val="24"/>
                <w:szCs w:val="24"/>
              </w:rPr>
            </w:pPr>
          </w:p>
        </w:tc>
        <w:tc>
          <w:tcPr>
            <w:tcW w:w="5670"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lastRenderedPageBreak/>
              <w:t>ІІ. Порядок звернення замовника до власника інфраструктури БРМ щодо отримання доступу до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1. </w:t>
            </w:r>
            <w:bookmarkStart w:id="3" w:name="_Hlk495315472"/>
            <w:r>
              <w:rPr>
                <w:rFonts w:ascii="Times New Roman" w:hAnsi="Times New Roman" w:cs="Times New Roman"/>
                <w:sz w:val="24"/>
                <w:szCs w:val="24"/>
              </w:rPr>
              <w:t xml:space="preserve">Для отримання доступу до інфраструктури БРМ замовник інфраструктури БРМ (далі – замовник) письмово звертається із запитом </w:t>
            </w:r>
            <w:proofErr w:type="gramStart"/>
            <w:r>
              <w:rPr>
                <w:rFonts w:ascii="Times New Roman" w:hAnsi="Times New Roman" w:cs="Times New Roman"/>
                <w:sz w:val="24"/>
                <w:szCs w:val="24"/>
              </w:rPr>
              <w:t>до  власника</w:t>
            </w:r>
            <w:proofErr w:type="gramEnd"/>
            <w:r>
              <w:rPr>
                <w:rFonts w:ascii="Times New Roman" w:hAnsi="Times New Roman" w:cs="Times New Roman"/>
                <w:sz w:val="24"/>
                <w:szCs w:val="24"/>
              </w:rPr>
              <w:t xml:space="preserve"> інфраструктури БРМ (далі – власник) про надання доступу до інфраструктури БРМ (далі – запит).</w:t>
            </w:r>
            <w:bookmarkEnd w:id="3"/>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2. У запиті замовником зазначаються: 1) повне найменування замовника, його місцезнаходження, ідентифікаційний код з Єдиного державного реєстру юридичних осіб, фізичних осіб-підприємців та громадських формувань, електронна поштова адреса (за наявності), контактні номери телефону. Уповноважена замовником особа зазначає прізвище, ім’я, по батькові, адресу 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доходів і зборів і має відмітку у паспорті), відомості щодо документу, який уповноважує її представляти інтереси замовника, номер і серію паспорта або іншого документу, який посвідчує особу, а також електронну поштову адресу (за наявності), контактні номери телефону; </w:t>
            </w:r>
            <w:r>
              <w:rPr>
                <w:rFonts w:ascii="Times New Roman" w:hAnsi="Times New Roman" w:cs="Times New Roman"/>
                <w:b/>
                <w:strike/>
                <w:sz w:val="24"/>
                <w:szCs w:val="24"/>
              </w:rPr>
              <w:t xml:space="preserve">2) </w:t>
            </w:r>
            <w:bookmarkStart w:id="4" w:name="_Hlk495315650"/>
            <w:r>
              <w:rPr>
                <w:rFonts w:ascii="Times New Roman" w:hAnsi="Times New Roman" w:cs="Times New Roman"/>
                <w:b/>
                <w:strike/>
                <w:sz w:val="24"/>
                <w:szCs w:val="24"/>
              </w:rPr>
              <w:t>передпроектна пропозиція розміщення БРМ по кожному із будинків, на яких планується прокладання кабелів (із зазначенням зовнішнього діаметра кабелів), а у разі необхідності встановлення на ділянці БРМ муфти кабелю – її тип.</w:t>
            </w:r>
            <w:bookmarkEnd w:id="4"/>
            <w:r>
              <w:rPr>
                <w:rFonts w:ascii="Times New Roman" w:hAnsi="Times New Roman" w:cs="Times New Roman"/>
                <w:b/>
                <w:sz w:val="24"/>
                <w:szCs w:val="24"/>
              </w:rPr>
              <w:t xml:space="preserve"> </w:t>
            </w:r>
            <w:r>
              <w:rPr>
                <w:rFonts w:ascii="Times New Roman" w:hAnsi="Times New Roman" w:cs="Times New Roman"/>
                <w:sz w:val="24"/>
                <w:szCs w:val="24"/>
              </w:rPr>
              <w:t xml:space="preserve">3) реквізити для повідомлення про виставлення рахунку про сплату за видачу технічних умов з доступу до </w:t>
            </w:r>
            <w:r>
              <w:rPr>
                <w:rFonts w:ascii="Times New Roman" w:hAnsi="Times New Roman" w:cs="Times New Roman"/>
                <w:sz w:val="24"/>
                <w:szCs w:val="24"/>
              </w:rPr>
              <w:lastRenderedPageBreak/>
              <w:t>елементів інфраструктури БРМ (далі – технічні умови з доступу).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У запиті замовником зазначаються: 1) повне найменування замовника, його місцезнаходження, ідентифікаційний код з Єдиного державного реєстру юридичних осіб, фізичних осіб-підприємців та громадських формувань, електронна поштова адреса (за наявності), контактні номери телефону. Уповноважена замовником особа зазначає прізвище, ім’я, по батькові, </w:t>
            </w:r>
            <w:r>
              <w:rPr>
                <w:rFonts w:ascii="Times New Roman" w:hAnsi="Times New Roman" w:cs="Times New Roman"/>
                <w:b/>
                <w:strike/>
                <w:sz w:val="24"/>
                <w:szCs w:val="24"/>
              </w:rPr>
              <w:t>адресу 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доходів і зборів і має відмітку у паспорті),</w:t>
            </w:r>
            <w:r>
              <w:rPr>
                <w:rFonts w:ascii="Times New Roman" w:hAnsi="Times New Roman" w:cs="Times New Roman"/>
                <w:sz w:val="24"/>
                <w:szCs w:val="24"/>
              </w:rPr>
              <w:t xml:space="preserve"> відомості щодо документу, який уповноважує її представляти інтереси замовника, номер і серію паспорта або іншого документу, який посвідчує особу, а також електронну поштову адресу (за наявності), контактні номери телефону; </w:t>
            </w:r>
            <w:r>
              <w:rPr>
                <w:rFonts w:ascii="Times New Roman" w:hAnsi="Times New Roman" w:cs="Times New Roman"/>
                <w:sz w:val="24"/>
                <w:szCs w:val="24"/>
                <w:lang w:val="uk-UA"/>
              </w:rPr>
              <w:t>2</w:t>
            </w:r>
            <w:r>
              <w:rPr>
                <w:rFonts w:ascii="Times New Roman" w:hAnsi="Times New Roman" w:cs="Times New Roman"/>
                <w:sz w:val="24"/>
                <w:szCs w:val="24"/>
              </w:rPr>
              <w:t>) реквізити для повідомлення про виставлення рахунку про сплату за видачу технічних умов з доступу до елементів інфраструктури БРМ (далі – технічні умови з доступу).</w:t>
            </w:r>
          </w:p>
        </w:tc>
        <w:tc>
          <w:tcPr>
            <w:tcW w:w="3366" w:type="dxa"/>
          </w:tcPr>
          <w:p>
            <w:pPr>
              <w:jc w:val="both"/>
              <w:rPr>
                <w:rFonts w:ascii="Times New Roman" w:eastAsia="Batang" w:hAnsi="Times New Roman" w:cs="Times New Roman"/>
                <w:b/>
                <w:sz w:val="24"/>
                <w:szCs w:val="28"/>
                <w:lang w:val="uk-UA" w:eastAsia="ru-RU"/>
              </w:rPr>
            </w:pPr>
            <w:bookmarkStart w:id="5" w:name="_Hlk495315846"/>
            <w:r>
              <w:rPr>
                <w:rFonts w:ascii="Times New Roman" w:hAnsi="Times New Roman" w:cs="Times New Roman"/>
                <w:sz w:val="24"/>
                <w:szCs w:val="24"/>
                <w:lang w:val="uk-UA"/>
              </w:rPr>
              <w:t>1.Адреса місця проживання уповноваженої замовником особи та її  реєстраційний номер облікової картки платника податків не має ніякого відношення до стосунків замовника та власника. Номер облікової картки є обов'язковим для використання підприємствами, установами, організаціями всіх форм власності, включаючи установи </w:t>
            </w:r>
            <w:hyperlink r:id="rId5" w:tooltip="Національний банк України" w:history="1">
              <w:r>
                <w:rPr>
                  <w:rFonts w:ascii="Times New Roman" w:hAnsi="Times New Roman" w:cs="Times New Roman"/>
                  <w:sz w:val="24"/>
                  <w:szCs w:val="24"/>
                  <w:lang w:val="uk-UA"/>
                </w:rPr>
                <w:t>Національного банку України</w:t>
              </w:r>
            </w:hyperlink>
            <w:r>
              <w:rPr>
                <w:rFonts w:ascii="Times New Roman" w:hAnsi="Times New Roman" w:cs="Times New Roman"/>
                <w:sz w:val="24"/>
                <w:szCs w:val="24"/>
                <w:lang w:val="uk-UA"/>
              </w:rPr>
              <w:t>, комерційні </w:t>
            </w:r>
            <w:hyperlink r:id="rId6" w:tooltip="Банк" w:history="1">
              <w:r>
                <w:rPr>
                  <w:rFonts w:ascii="Times New Roman" w:hAnsi="Times New Roman" w:cs="Times New Roman"/>
                  <w:sz w:val="24"/>
                  <w:szCs w:val="24"/>
                  <w:lang w:val="uk-UA"/>
                </w:rPr>
                <w:t>банки</w:t>
              </w:r>
            </w:hyperlink>
            <w:r>
              <w:rPr>
                <w:rFonts w:ascii="Times New Roman" w:hAnsi="Times New Roman" w:cs="Times New Roman"/>
                <w:sz w:val="24"/>
                <w:szCs w:val="24"/>
                <w:lang w:val="uk-UA"/>
              </w:rPr>
              <w:t> та інші фінансово-кредитні установи в разі виплати </w:t>
            </w:r>
            <w:hyperlink r:id="rId7" w:tooltip="Доход" w:history="1">
              <w:r>
                <w:rPr>
                  <w:rFonts w:ascii="Times New Roman" w:hAnsi="Times New Roman" w:cs="Times New Roman"/>
                  <w:sz w:val="24"/>
                  <w:szCs w:val="24"/>
                  <w:lang w:val="uk-UA"/>
                </w:rPr>
                <w:t>доходів</w:t>
              </w:r>
            </w:hyperlink>
            <w:r>
              <w:rPr>
                <w:rFonts w:ascii="Times New Roman" w:hAnsi="Times New Roman" w:cs="Times New Roman"/>
                <w:sz w:val="24"/>
                <w:szCs w:val="24"/>
                <w:lang w:val="uk-UA"/>
              </w:rPr>
              <w:t>, з яких утримуються податки та інші обов'язкові платежі, укладення </w:t>
            </w:r>
            <w:hyperlink r:id="rId8" w:tooltip="Цивільно-правові угоди" w:history="1">
              <w:r>
                <w:rPr>
                  <w:rFonts w:ascii="Times New Roman" w:hAnsi="Times New Roman" w:cs="Times New Roman"/>
                  <w:sz w:val="24"/>
                  <w:szCs w:val="24"/>
                  <w:lang w:val="uk-UA"/>
                </w:rPr>
                <w:t>цивільно-правових угод</w:t>
              </w:r>
            </w:hyperlink>
            <w:r>
              <w:rPr>
                <w:rFonts w:ascii="Times New Roman" w:hAnsi="Times New Roman" w:cs="Times New Roman"/>
                <w:sz w:val="24"/>
                <w:szCs w:val="24"/>
                <w:lang w:val="uk-UA"/>
              </w:rPr>
              <w:t>, предметом яких є об'єкти </w:t>
            </w:r>
            <w:hyperlink r:id="rId9" w:tooltip="Оподаткування" w:history="1">
              <w:r>
                <w:rPr>
                  <w:rFonts w:ascii="Times New Roman" w:hAnsi="Times New Roman" w:cs="Times New Roman"/>
                  <w:sz w:val="24"/>
                  <w:szCs w:val="24"/>
                  <w:lang w:val="uk-UA"/>
                </w:rPr>
                <w:t>оподаткування</w:t>
              </w:r>
            </w:hyperlink>
            <w:r>
              <w:rPr>
                <w:rFonts w:ascii="Times New Roman" w:hAnsi="Times New Roman" w:cs="Times New Roman"/>
                <w:sz w:val="24"/>
                <w:szCs w:val="24"/>
                <w:lang w:val="uk-UA"/>
              </w:rPr>
              <w:t> та щодо яких виникають обов'язки сплати платежів, відкриття рахунків в установах банків.</w:t>
            </w:r>
          </w:p>
          <w:p>
            <w:pPr>
              <w:jc w:val="both"/>
              <w:rPr>
                <w:rFonts w:ascii="Times New Roman" w:eastAsia="Batang" w:hAnsi="Times New Roman" w:cs="Times New Roman"/>
                <w:b/>
                <w:sz w:val="24"/>
                <w:szCs w:val="28"/>
                <w:lang w:eastAsia="ru-RU"/>
              </w:rPr>
            </w:pPr>
            <w:r>
              <w:rPr>
                <w:rFonts w:ascii="Times New Roman" w:eastAsia="Batang" w:hAnsi="Times New Roman" w:cs="Times New Roman"/>
                <w:sz w:val="24"/>
                <w:szCs w:val="28"/>
                <w:lang w:val="uk-UA" w:eastAsia="ru-RU"/>
              </w:rPr>
              <w:lastRenderedPageBreak/>
              <w:t>2.Оскільки замовник не  може на цьому етапі запропонувати передпроектну пропозицію. Він діє на підставі ТУ.</w:t>
            </w:r>
            <w:r>
              <w:rPr>
                <w:rFonts w:ascii="Times New Roman" w:eastAsia="Batang" w:hAnsi="Times New Roman" w:cs="Times New Roman"/>
                <w:b/>
                <w:sz w:val="24"/>
                <w:szCs w:val="28"/>
                <w:lang w:eastAsia="ru-RU"/>
              </w:rPr>
              <w:t xml:space="preserve"> </w:t>
            </w:r>
          </w:p>
          <w:p>
            <w:pPr>
              <w:jc w:val="both"/>
              <w:rPr>
                <w:rFonts w:ascii="Times New Roman" w:eastAsia="Batang" w:hAnsi="Times New Roman" w:cs="Times New Roman"/>
                <w:b/>
                <w:sz w:val="24"/>
                <w:szCs w:val="28"/>
                <w:lang w:val="uk-UA" w:eastAsia="ru-RU"/>
              </w:rPr>
            </w:pPr>
          </w:p>
          <w:bookmarkEnd w:id="5"/>
          <w:p>
            <w:pPr>
              <w:jc w:val="both"/>
              <w:rPr>
                <w:rFonts w:ascii="Times New Roman" w:hAnsi="Times New Roman" w:cs="Times New Roman"/>
                <w:sz w:val="24"/>
                <w:szCs w:val="24"/>
                <w:lang w:val="uk-UA"/>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Власник розглядає поданий запит, у разі виявлення відсутності будь- якої </w:t>
            </w:r>
            <w:proofErr w:type="gramStart"/>
            <w:r>
              <w:rPr>
                <w:rFonts w:ascii="Times New Roman" w:hAnsi="Times New Roman" w:cs="Times New Roman"/>
                <w:sz w:val="24"/>
                <w:szCs w:val="24"/>
              </w:rPr>
              <w:t>інформації ,</w:t>
            </w:r>
            <w:proofErr w:type="gramEnd"/>
            <w:r>
              <w:rPr>
                <w:rFonts w:ascii="Times New Roman" w:hAnsi="Times New Roman" w:cs="Times New Roman"/>
                <w:sz w:val="24"/>
                <w:szCs w:val="24"/>
              </w:rPr>
              <w:t xml:space="preserve"> передбаченої пунктом 2 розділу ІІ цих Правил, у строк, що не перевищує 15 (п’ятнадцять) робочих днів з дня отримання запиту письмово повідомляє про це замовника.</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4. Після перевірки відповідності запиту вимогам, передбаченим пунктом 2 розділу ІІ цих Правил, власник у строк, що не перевищує 15 (п’ятнадцять) робочих днів, починаючи з дня отримання запиту або отримання від замовника повного переліку необхідної інформації, власник приймає рішення про видачу технічних умов з доступу за умови наявності технічної можливості доступу до інфраструктури БРМ та письмово надсилає повідомлення замовнику про прийняте рішення, з одночасним наданням рахунку на оплату за видачу технічних умов з доступу за реквізитами, вказаними у запиті. У разі прийняття власником інфраструктури БРМ рішення про відмову у видачі технічних умов з доступу він у строк, що не перевищує 15 робочих днів з дня надходження заяви, письмово повідомляє про це замовника з обґрунтуванням причин такої відмови та внесенням іншої можливої альтернативної пропозиції щодо доступу до інфраструктури БРМ. Якщо замовник погодився на альтернативну пропозицію, він подає власнику новий запит у строк, що не перевищує 15 робочих днів з дня отримання альтернативної пропозиції.</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 xml:space="preserve">4. Після перевірки відповідності запиту вимогам, передбаченим пунктом 2 розділу ІІ цих Правил, власник у строк, що не перевищує 15 (п’ятнадцять) робочих днів, починаючи з дня отримання запиту або отримання від замовника повного переліку необхідної інформації, </w:t>
            </w:r>
            <w:r>
              <w:rPr>
                <w:rFonts w:ascii="Times New Roman" w:hAnsi="Times New Roman" w:cs="Times New Roman"/>
                <w:b/>
                <w:strike/>
                <w:sz w:val="24"/>
                <w:szCs w:val="24"/>
              </w:rPr>
              <w:t>власник</w:t>
            </w:r>
            <w:r>
              <w:rPr>
                <w:rFonts w:ascii="Times New Roman" w:hAnsi="Times New Roman" w:cs="Times New Roman"/>
                <w:sz w:val="24"/>
                <w:szCs w:val="24"/>
              </w:rPr>
              <w:t xml:space="preserve"> приймає рішення про видачу технічних умов з доступу за умови наявності технічної можливості доступу до інфраструктури БРМ та письмово надсилає повідомлення замовнику про прийняте рішення, з одночасним наданням рахунку на оплату за видачу технічних умов з доступу за реквізитами, вказаними у запиті. У разі прийняття власником інфраструктури БРМ рішення про відмову у видачі технічних умов з доступу він у строк, що не перевищує 15 робочих днів з дня надходження заяви, письмово повідомляє про це замовника з обґрунтуванням причин такої відмови та внесенням іншої можливої альтернативної пропозиції щодо доступу до інфраструктури БРМ. Якщо замовник погодився на альтернативну пропозицію, він подає власнику новий запит у строк, що не перевищує 15 робочих днів з дня отримання альтернативної пропозиції.</w:t>
            </w:r>
          </w:p>
        </w:tc>
        <w:tc>
          <w:tcPr>
            <w:tcW w:w="3366" w:type="dxa"/>
          </w:tcPr>
          <w:p>
            <w:pPr>
              <w:jc w:val="both"/>
              <w:rPr>
                <w:rFonts w:ascii="Times New Roman" w:hAnsi="Times New Roman" w:cs="Times New Roman"/>
                <w:sz w:val="24"/>
                <w:szCs w:val="24"/>
                <w:lang w:val="uk-UA"/>
              </w:rPr>
            </w:pPr>
            <w:r>
              <w:rPr>
                <w:rFonts w:ascii="Times New Roman" w:hAnsi="Times New Roman" w:cs="Times New Roman"/>
                <w:sz w:val="24"/>
                <w:szCs w:val="24"/>
              </w:rPr>
              <w:t>редакц</w:t>
            </w:r>
            <w:r>
              <w:rPr>
                <w:rFonts w:ascii="Times New Roman" w:hAnsi="Times New Roman" w:cs="Times New Roman"/>
                <w:sz w:val="24"/>
                <w:szCs w:val="24"/>
                <w:lang w:val="uk-UA"/>
              </w:rPr>
              <w:t>ійно</w:t>
            </w: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В разі необхідності, з метою визначення придатності інфраструктури БРМ для розміщення технічних засобів телекомунікацій, перед укладенням договору з доступу до інфраструктури БРМ, замовник має право, на безоплатній основі, отримати від власника інформацію про інфраструктуру БРМ у тому числі, у вигляді схеми розташування інфраструктури БРМ та здійснити попередній огляд відповідної інфраструктури БРМ. З метою здійснення попереднього огляду відповідної інфраструктури БРМ замовнику необхідно письмово звернуться до власника із зазначенням реквізитів для повідомлення про погоджені час та дату огляду. Власник зобов’язаний, протягом 5 (п’яти) робочих днів, на безоплатній основі надати замовнику можливість ознайомитися з інфраструктурою БРМ. </w:t>
            </w:r>
          </w:p>
          <w:p>
            <w:pPr>
              <w:jc w:val="both"/>
              <w:rPr>
                <w:rFonts w:ascii="Times New Roman" w:hAnsi="Times New Roman" w:cs="Times New Roman"/>
                <w:sz w:val="24"/>
                <w:szCs w:val="24"/>
              </w:rPr>
            </w:pP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доповнити</w:t>
            </w:r>
          </w:p>
        </w:tc>
        <w:tc>
          <w:tcPr>
            <w:tcW w:w="5670" w:type="dxa"/>
          </w:tcPr>
          <w:p>
            <w:pPr>
              <w:jc w:val="both"/>
              <w:rPr>
                <w:rFonts w:ascii="Times New Roman" w:hAnsi="Times New Roman" w:cs="Times New Roman"/>
                <w:b/>
                <w:sz w:val="24"/>
                <w:szCs w:val="24"/>
              </w:rPr>
            </w:pPr>
            <w:r>
              <w:rPr>
                <w:rFonts w:ascii="Times New Roman" w:hAnsi="Times New Roman" w:cs="Times New Roman"/>
                <w:b/>
                <w:sz w:val="24"/>
                <w:szCs w:val="24"/>
              </w:rPr>
              <w:t xml:space="preserve">6.За зверненням замовника власник повинен надати документи, які підтверджують право на укладення договору з доступу до інфраструктури БРМ, а саме: належність будинку та інфраструктури БРМ у цьому </w:t>
            </w:r>
            <w:proofErr w:type="gramStart"/>
            <w:r>
              <w:rPr>
                <w:rFonts w:ascii="Times New Roman" w:hAnsi="Times New Roman" w:cs="Times New Roman"/>
                <w:b/>
                <w:sz w:val="24"/>
                <w:szCs w:val="24"/>
              </w:rPr>
              <w:t>будинку  власникові</w:t>
            </w:r>
            <w:proofErr w:type="gramEnd"/>
            <w:r>
              <w:rPr>
                <w:rFonts w:ascii="Times New Roman" w:hAnsi="Times New Roman" w:cs="Times New Roman"/>
                <w:b/>
                <w:sz w:val="24"/>
                <w:szCs w:val="24"/>
              </w:rPr>
              <w:t xml:space="preserve"> і повноваження на укладення договору з доступу.</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 xml:space="preserve">ІІІ. Строки розроблення та видачі технічних умов з доступу до інфраструктури БРМ </w:t>
            </w:r>
          </w:p>
          <w:p>
            <w:pPr>
              <w:pStyle w:val="a4"/>
              <w:numPr>
                <w:ilvl w:val="0"/>
                <w:numId w:val="2"/>
              </w:numPr>
              <w:ind w:left="0"/>
              <w:jc w:val="both"/>
              <w:rPr>
                <w:rFonts w:ascii="Times New Roman" w:hAnsi="Times New Roman" w:cs="Times New Roman"/>
                <w:sz w:val="24"/>
                <w:szCs w:val="24"/>
              </w:rPr>
            </w:pPr>
            <w:r>
              <w:rPr>
                <w:rFonts w:ascii="Times New Roman" w:hAnsi="Times New Roman" w:cs="Times New Roman"/>
                <w:sz w:val="24"/>
                <w:szCs w:val="24"/>
                <w:lang w:val="uk-UA"/>
              </w:rPr>
              <w:t>1.</w:t>
            </w:r>
            <w:r>
              <w:rPr>
                <w:rFonts w:ascii="Times New Roman" w:hAnsi="Times New Roman" w:cs="Times New Roman"/>
                <w:sz w:val="24"/>
                <w:szCs w:val="24"/>
              </w:rPr>
              <w:t xml:space="preserve">Замовник вносить плату за видачу технічних умов з доступу протягом 15 (п’ятнадцяти) робочих днів з дня отримання письмової інформації про прийняття рішення власником про видачу технічних умов з такого доступу. </w:t>
            </w:r>
          </w:p>
          <w:p>
            <w:pPr>
              <w:pStyle w:val="a4"/>
              <w:jc w:val="both"/>
              <w:rPr>
                <w:rFonts w:ascii="Times New Roman" w:hAnsi="Times New Roman" w:cs="Times New Roman"/>
                <w:sz w:val="24"/>
                <w:szCs w:val="24"/>
              </w:rPr>
            </w:pP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2. У разі несплати замовником у встановлений строк плати за видачу технічних умов з доступу, рішення </w:t>
            </w:r>
            <w:r>
              <w:rPr>
                <w:rFonts w:ascii="Times New Roman" w:hAnsi="Times New Roman" w:cs="Times New Roman"/>
                <w:sz w:val="24"/>
                <w:szCs w:val="24"/>
              </w:rPr>
              <w:lastRenderedPageBreak/>
              <w:t xml:space="preserve">про видачу технічних умов з доступу анулюється власником. </w:t>
            </w:r>
          </w:p>
          <w:p>
            <w:pPr>
              <w:jc w:val="both"/>
              <w:rPr>
                <w:rFonts w:ascii="Times New Roman" w:hAnsi="Times New Roman" w:cs="Times New Roman"/>
                <w:sz w:val="24"/>
                <w:szCs w:val="24"/>
              </w:rPr>
            </w:pP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3. Власник у строк до 15 (п’ятнадцяти) робочих днів, починаючи з дня оплати замовником за видачу технічних умов з доступу надає технічні умови з доступу. </w:t>
            </w:r>
          </w:p>
          <w:p>
            <w:pPr>
              <w:jc w:val="both"/>
              <w:rPr>
                <w:rFonts w:ascii="Times New Roman" w:hAnsi="Times New Roman" w:cs="Times New Roman"/>
                <w:sz w:val="24"/>
                <w:szCs w:val="24"/>
              </w:rPr>
            </w:pP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4. Технічні умови з доступу мають містити: 1) вихідні дані для розроблення замовником проектної документації з доступу до інфраструктури БРМ; 2) перелік робіт, що мають бути виконані </w:t>
            </w:r>
            <w:proofErr w:type="gramStart"/>
            <w:r>
              <w:rPr>
                <w:rFonts w:ascii="Times New Roman" w:hAnsi="Times New Roman" w:cs="Times New Roman"/>
                <w:sz w:val="24"/>
                <w:szCs w:val="24"/>
              </w:rPr>
              <w:t>для доступу</w:t>
            </w:r>
            <w:proofErr w:type="gramEnd"/>
            <w:r>
              <w:rPr>
                <w:rFonts w:ascii="Times New Roman" w:hAnsi="Times New Roman" w:cs="Times New Roman"/>
                <w:sz w:val="24"/>
                <w:szCs w:val="24"/>
              </w:rPr>
              <w:t xml:space="preserve"> до елементів інфраструктури БРМ; 3) строк дії технічних умов з доступу; 4) наявні обмеження щодо доступу до певного елемента інфраструктури БРМ та/або порядку його експлуатації; </w:t>
            </w:r>
            <w:r>
              <w:rPr>
                <w:rFonts w:ascii="Times New Roman" w:hAnsi="Times New Roman" w:cs="Times New Roman"/>
                <w:b/>
                <w:i/>
                <w:strike/>
                <w:sz w:val="24"/>
                <w:szCs w:val="24"/>
              </w:rPr>
              <w:t>5) вимоги до розміщення технічних засобів телекомунікації</w:t>
            </w:r>
            <w:r>
              <w:rPr>
                <w:rFonts w:ascii="Times New Roman" w:hAnsi="Times New Roman" w:cs="Times New Roman"/>
                <w:i/>
                <w:strike/>
                <w:sz w:val="24"/>
                <w:szCs w:val="24"/>
              </w:rPr>
              <w:t>;</w:t>
            </w:r>
            <w:r>
              <w:rPr>
                <w:rFonts w:ascii="Times New Roman" w:hAnsi="Times New Roman" w:cs="Times New Roman"/>
                <w:sz w:val="24"/>
                <w:szCs w:val="24"/>
              </w:rPr>
              <w:t xml:space="preserve"> </w:t>
            </w:r>
          </w:p>
          <w:p>
            <w:pPr>
              <w:jc w:val="both"/>
              <w:rPr>
                <w:rFonts w:ascii="Times New Roman" w:hAnsi="Times New Roman" w:cs="Times New Roman"/>
                <w:sz w:val="24"/>
                <w:szCs w:val="24"/>
              </w:rPr>
            </w:pP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 xml:space="preserve">4. Технічні умови з доступу мають містити: 1) вихідні дані для розроблення замовником проектної документації з доступу до інфраструктури БРМ; 2) перелік робіт, що мають бути виконані </w:t>
            </w:r>
            <w:proofErr w:type="gramStart"/>
            <w:r>
              <w:rPr>
                <w:rFonts w:ascii="Times New Roman" w:hAnsi="Times New Roman" w:cs="Times New Roman"/>
                <w:sz w:val="24"/>
                <w:szCs w:val="24"/>
              </w:rPr>
              <w:t>для доступу</w:t>
            </w:r>
            <w:proofErr w:type="gramEnd"/>
            <w:r>
              <w:rPr>
                <w:rFonts w:ascii="Times New Roman" w:hAnsi="Times New Roman" w:cs="Times New Roman"/>
                <w:sz w:val="24"/>
                <w:szCs w:val="24"/>
              </w:rPr>
              <w:t xml:space="preserve"> до елементів інфраструктури БРМ; 3) строк дії технічних умов з доступу; 4) наявні обмеження щодо доступу до певного елемента інфраструктури БРМ та/або порядку його експлуатації; </w:t>
            </w:r>
          </w:p>
          <w:p>
            <w:pPr>
              <w:jc w:val="both"/>
              <w:rPr>
                <w:rFonts w:ascii="Times New Roman" w:hAnsi="Times New Roman" w:cs="Times New Roman"/>
                <w:sz w:val="24"/>
                <w:szCs w:val="24"/>
              </w:rPr>
            </w:pPr>
          </w:p>
        </w:tc>
        <w:tc>
          <w:tcPr>
            <w:tcW w:w="3366"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Вказаний підпункт 5 не передбачено ЗУ «</w:t>
            </w:r>
            <w:r>
              <w:rPr>
                <w:rFonts w:ascii="Times New Roman" w:hAnsi="Times New Roman" w:cs="Times New Roman"/>
                <w:color w:val="000000" w:themeColor="text1"/>
                <w:sz w:val="24"/>
                <w:szCs w:val="24"/>
                <w:shd w:val="clear" w:color="auto" w:fill="FFFFFF"/>
                <w:lang w:val="uk-UA"/>
              </w:rPr>
              <w:t>Про доступ до об’єктів будівництва, транспорту, електроенергетики з метою розвитку телекомунікаційних мереж»</w:t>
            </w: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5 Отримання та виконання технічних умов з доступу є обов’язковими умовами здійснення доступу до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6. Технічні умови з доступу набирають чинності з дати видачі їх замовнику власником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7. Технічні умови з доступу до інфраструктури БРМ є чинними протягом зазначеного в них строку їх дії. Якщо замовник оплатив, але з власної вини не отримав технічні умови з доступу протягом шести місяців з дня оплати, такі технічні умови з доступу до інфраструктури БРМ вважаються такими, що втратили чинність.</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lang w:val="uk-UA"/>
              </w:rPr>
              <w:t>7.</w:t>
            </w:r>
            <w:r>
              <w:rPr>
                <w:rFonts w:ascii="Times New Roman" w:hAnsi="Times New Roman" w:cs="Times New Roman"/>
                <w:sz w:val="24"/>
                <w:szCs w:val="24"/>
              </w:rPr>
              <w:t xml:space="preserve">Технічні умови з доступу є чинними протягом зазначеного в них строку їх дії, </w:t>
            </w:r>
            <w:r>
              <w:rPr>
                <w:rFonts w:ascii="Times New Roman" w:hAnsi="Times New Roman" w:cs="Times New Roman"/>
                <w:b/>
                <w:i/>
                <w:sz w:val="24"/>
                <w:szCs w:val="24"/>
              </w:rPr>
              <w:t>але не менше 1 (одного) року.</w:t>
            </w:r>
            <w:r>
              <w:rPr>
                <w:rFonts w:ascii="Times New Roman" w:hAnsi="Times New Roman" w:cs="Times New Roman"/>
                <w:i/>
                <w:sz w:val="24"/>
                <w:szCs w:val="24"/>
              </w:rPr>
              <w:t xml:space="preserve"> </w:t>
            </w:r>
            <w:r>
              <w:rPr>
                <w:rFonts w:ascii="Times New Roman" w:hAnsi="Times New Roman" w:cs="Times New Roman"/>
                <w:sz w:val="24"/>
                <w:szCs w:val="24"/>
              </w:rPr>
              <w:t>Якщо замовник оплатив, але з власної вини не отримав технічні умови з доступу протягом шести місяців з дня оплати, такі технічні умови з доступу вважаються такими, що втратили чинність</w:t>
            </w:r>
          </w:p>
        </w:tc>
        <w:tc>
          <w:tcPr>
            <w:tcW w:w="3366"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Приведено у відповідність до Закону </w:t>
            </w:r>
            <w:r>
              <w:rPr>
                <w:rFonts w:ascii="Times New Roman" w:hAnsi="Times New Roman" w:cs="Times New Roman"/>
                <w:color w:val="000000" w:themeColor="text1"/>
                <w:sz w:val="24"/>
                <w:szCs w:val="24"/>
                <w:shd w:val="clear" w:color="auto" w:fill="FFFFFF"/>
                <w:lang w:val="uk-UA"/>
              </w:rPr>
              <w:t>Про доступ до об’єктів будівництва, транспорту, електроенергетики з метою розвитку телекомунікаційних мереж»</w:t>
            </w: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8. Зміни до технічних умов з доступу можуть вноситися лише за згодою замовника.</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9. Технічні умови з доступу до кожного конкретного елемента інфраструктури БРМ мають </w:t>
            </w:r>
            <w:r>
              <w:rPr>
                <w:rFonts w:ascii="Times New Roman" w:hAnsi="Times New Roman" w:cs="Times New Roman"/>
                <w:sz w:val="24"/>
                <w:szCs w:val="24"/>
              </w:rPr>
              <w:lastRenderedPageBreak/>
              <w:t>встановлювати однакові для всіх замовників вимоги щодо доступу.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10. Підставою для відмови у наданні технічних умов з доступу є: </w:t>
            </w:r>
          </w:p>
          <w:p>
            <w:pPr>
              <w:jc w:val="both"/>
              <w:rPr>
                <w:rFonts w:ascii="Times New Roman" w:hAnsi="Times New Roman" w:cs="Times New Roman"/>
                <w:sz w:val="24"/>
                <w:szCs w:val="24"/>
              </w:rPr>
            </w:pPr>
            <w:r>
              <w:rPr>
                <w:rFonts w:ascii="Times New Roman" w:hAnsi="Times New Roman" w:cs="Times New Roman"/>
                <w:sz w:val="24"/>
                <w:szCs w:val="24"/>
              </w:rPr>
              <w:t xml:space="preserve">1) ненадання замовником інформації, зазначеної у пункті 2 розділу ІІ цих Правил; </w:t>
            </w:r>
          </w:p>
          <w:p>
            <w:pPr>
              <w:jc w:val="both"/>
              <w:rPr>
                <w:rFonts w:ascii="Times New Roman" w:hAnsi="Times New Roman" w:cs="Times New Roman"/>
                <w:sz w:val="24"/>
                <w:szCs w:val="24"/>
              </w:rPr>
            </w:pPr>
            <w:r>
              <w:rPr>
                <w:rFonts w:ascii="Times New Roman" w:hAnsi="Times New Roman" w:cs="Times New Roman"/>
                <w:sz w:val="24"/>
                <w:szCs w:val="24"/>
              </w:rPr>
              <w:t xml:space="preserve">2) відсутності технічної можливості для розміщення технічних засобів телекомунікацій на елементах інфраструктури БРМ; </w:t>
            </w:r>
          </w:p>
          <w:p>
            <w:pPr>
              <w:jc w:val="both"/>
              <w:rPr>
                <w:rFonts w:ascii="Times New Roman" w:hAnsi="Times New Roman" w:cs="Times New Roman"/>
                <w:sz w:val="24"/>
                <w:szCs w:val="24"/>
              </w:rPr>
            </w:pPr>
            <w:r>
              <w:rPr>
                <w:rFonts w:ascii="Times New Roman" w:hAnsi="Times New Roman" w:cs="Times New Roman"/>
                <w:sz w:val="24"/>
                <w:szCs w:val="24"/>
              </w:rPr>
              <w:t>3) наявність простроченої понад 3 (три) місяці заборгованості замовника за раніше отримані в користування елементи інфраструктури БРМ, надані в користування власником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11. Відмова у видачі технічних умов з доступу з інших підстав, ніж ті, що встановлені пунктом 10 розділу ІІІ цих Правил, забороняється.</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IV. Порядок та строки розроблення і погодження проектної документації з доступу до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1. На підставі отриманих технічних умов з доступу проектна документація з доступу до інфраструктури БРМ (далі – проектна документація з доступу) розробляється замовником самостійно або іншою особою на замовлення замовника </w:t>
            </w:r>
            <w:proofErr w:type="gramStart"/>
            <w:r>
              <w:rPr>
                <w:rFonts w:ascii="Times New Roman" w:hAnsi="Times New Roman" w:cs="Times New Roman"/>
                <w:sz w:val="24"/>
                <w:szCs w:val="24"/>
              </w:rPr>
              <w:t>у порядку</w:t>
            </w:r>
            <w:proofErr w:type="gramEnd"/>
            <w:r>
              <w:rPr>
                <w:rFonts w:ascii="Times New Roman" w:hAnsi="Times New Roman" w:cs="Times New Roman"/>
                <w:sz w:val="24"/>
                <w:szCs w:val="24"/>
              </w:rPr>
              <w:t>, визначеному законодавством.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2. Проектна документація з доступу розробляється відповідно до технічних умов з доступу до інфраструктури БРМ, що визначають розміщення технічних засобів телекомунікацій замовника на елементах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3. Проектна документація з доступу не потребує погодження органами державної влади, органами місцевого самоврядування, їх посадовими особами та/або юридичними особами, утвореними такими органами.</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4. Проектна документація з доступу має бути погоджена власником протягом 15 (п’ятнадцяти) робочих днів з дня її отримання від замовника.</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5. Власник може відмовити замовнику у погодженні проектної документації з доступу виключно на підставі її невідповідності виданим технічним умовам з доступу.</w:t>
            </w:r>
          </w:p>
        </w:tc>
        <w:tc>
          <w:tcPr>
            <w:tcW w:w="5670" w:type="dxa"/>
          </w:tcPr>
          <w:p>
            <w:pPr>
              <w:jc w:val="both"/>
              <w:rPr>
                <w:rFonts w:ascii="Times New Roman" w:hAnsi="Times New Roman" w:cs="Times New Roman"/>
                <w:i/>
                <w:sz w:val="27"/>
                <w:szCs w:val="27"/>
              </w:rPr>
            </w:pPr>
            <w:r>
              <w:rPr>
                <w:rFonts w:ascii="Times New Roman" w:hAnsi="Times New Roman" w:cs="Times New Roman"/>
                <w:sz w:val="24"/>
                <w:szCs w:val="24"/>
              </w:rPr>
              <w:t>5. Власник може відмовити замовнику у погодженні проектної документації з доступу виключно на підставі її невідповідності виданим технічним умовам з доступу.</w:t>
            </w:r>
          </w:p>
          <w:p>
            <w:pPr>
              <w:jc w:val="both"/>
              <w:rPr>
                <w:rFonts w:ascii="Times New Roman" w:hAnsi="Times New Roman" w:cs="Times New Roman"/>
                <w:b/>
                <w:sz w:val="24"/>
                <w:szCs w:val="24"/>
              </w:rPr>
            </w:pPr>
            <w:r>
              <w:rPr>
                <w:rFonts w:ascii="Times New Roman" w:hAnsi="Times New Roman" w:cs="Times New Roman"/>
                <w:b/>
                <w:i/>
                <w:sz w:val="24"/>
                <w:szCs w:val="27"/>
              </w:rPr>
              <w:t xml:space="preserve">Якщо проектна документація </w:t>
            </w:r>
            <w:r>
              <w:rPr>
                <w:rFonts w:ascii="Times New Roman" w:hAnsi="Times New Roman" w:cs="Times New Roman"/>
                <w:b/>
                <w:i/>
                <w:sz w:val="24"/>
                <w:szCs w:val="27"/>
                <w:lang w:val="uk-UA"/>
              </w:rPr>
              <w:t xml:space="preserve">з доступу </w:t>
            </w:r>
            <w:r>
              <w:rPr>
                <w:rFonts w:ascii="Times New Roman" w:hAnsi="Times New Roman" w:cs="Times New Roman"/>
                <w:b/>
                <w:i/>
                <w:sz w:val="24"/>
                <w:szCs w:val="27"/>
              </w:rPr>
              <w:t xml:space="preserve">не погоджена, власник у період не пізніше 15 календарних днів у письмовій формі інформує про це замовника, наводячи обґрунтовані </w:t>
            </w:r>
            <w:r>
              <w:rPr>
                <w:rFonts w:ascii="Times New Roman" w:hAnsi="Times New Roman" w:cs="Times New Roman"/>
                <w:b/>
                <w:i/>
                <w:sz w:val="24"/>
                <w:szCs w:val="27"/>
                <w:lang w:val="uk-UA"/>
              </w:rPr>
              <w:t xml:space="preserve">вичерпні </w:t>
            </w:r>
            <w:r>
              <w:rPr>
                <w:rFonts w:ascii="Times New Roman" w:hAnsi="Times New Roman" w:cs="Times New Roman"/>
                <w:b/>
                <w:i/>
                <w:sz w:val="24"/>
                <w:szCs w:val="27"/>
              </w:rPr>
              <w:t>підстави для відмови у погоджені</w:t>
            </w:r>
            <w:r>
              <w:rPr>
                <w:rFonts w:ascii="Times New Roman" w:hAnsi="Times New Roman" w:cs="Times New Roman"/>
                <w:b/>
                <w:sz w:val="24"/>
                <w:szCs w:val="27"/>
              </w:rPr>
              <w:t>.</w:t>
            </w:r>
            <w:r>
              <w:rPr>
                <w:rFonts w:ascii="Times New Roman" w:hAnsi="Times New Roman" w:cs="Times New Roman"/>
                <w:b/>
                <w:sz w:val="24"/>
                <w:szCs w:val="27"/>
                <w:lang w:val="uk-UA"/>
              </w:rPr>
              <w:t xml:space="preserve"> </w:t>
            </w:r>
            <w:r>
              <w:rPr>
                <w:rFonts w:ascii="Times New Roman" w:hAnsi="Times New Roman" w:cs="Times New Roman"/>
                <w:b/>
                <w:i/>
                <w:sz w:val="24"/>
                <w:szCs w:val="27"/>
                <w:lang w:val="uk-UA"/>
              </w:rPr>
              <w:t>Власником не може бути відмовлено у погодженні проектної документації з підстав, що не були викладені у попередній відмові.</w:t>
            </w:r>
          </w:p>
        </w:tc>
        <w:tc>
          <w:tcPr>
            <w:tcW w:w="3366"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Доповнено механізмом реалізації у разі непогодження проектної документації.</w:t>
            </w:r>
          </w:p>
        </w:tc>
      </w:tr>
      <w:tr>
        <w:trPr>
          <w:trHeight w:val="1000"/>
        </w:trP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V. Порядок подання замовником письмового звернення до власника інфраструктури БРМ з пропозицією укладання договору з доступу до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1. Укладення договору з доступу до інфраструктури БРМ (далі – договір з доступу) здійснюється після видачі замовнику технічних умов з доступу та погодження власником проектної документації з доступу.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2. Підставою для укладення договору з доступу є письмове звернення замовника, підписане уповноваженою належним чином його посадовою особою (представником), до якого додаються два примірники таких документів: проектна документація з доступу (засвідчені замовником фотокопії проектної документації з доступу); проект договору з доступу.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3. Доступ до інфраструктури БРМ здійснюється на підставі договору між власником та замовником, що укладається з урахуванням особливостей, встановлених Законом України «Про доступ до </w:t>
            </w:r>
            <w:r>
              <w:rPr>
                <w:rFonts w:ascii="Times New Roman" w:hAnsi="Times New Roman" w:cs="Times New Roman"/>
                <w:sz w:val="24"/>
                <w:szCs w:val="24"/>
              </w:rPr>
              <w:lastRenderedPageBreak/>
              <w:t>об’єктів будівництва, транспорту, електроенергетики з метою розвитку телекомунікаційних мереж».</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VI. Строки розгляду та надання відповіді на звернення замовника до власника інфраструктури БРМ з пропозицією укладання договору з доступу до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1. Власник, у строк, що не перевищує одного місяця з дня надходження письмового звернення замовника з пропозицією укладення договору з доступу, розглядає його та приймає рішення щодо укладання такого договору.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2. Власник може відмовити замовнику в укладанні договору з доступу з таких підстав: </w:t>
            </w:r>
          </w:p>
          <w:p>
            <w:pPr>
              <w:jc w:val="both"/>
              <w:rPr>
                <w:rFonts w:ascii="Times New Roman" w:hAnsi="Times New Roman" w:cs="Times New Roman"/>
                <w:sz w:val="24"/>
                <w:szCs w:val="24"/>
              </w:rPr>
            </w:pPr>
            <w:r>
              <w:rPr>
                <w:rFonts w:ascii="Times New Roman" w:hAnsi="Times New Roman" w:cs="Times New Roman"/>
                <w:sz w:val="24"/>
                <w:szCs w:val="24"/>
              </w:rPr>
              <w:t xml:space="preserve">1) звернення щодо укладення договору з доступу підписано не уповноваженою належним чином посадовою особою (представником) замовника або складено з порушенням вимог цих Правил; </w:t>
            </w:r>
          </w:p>
          <w:p>
            <w:pPr>
              <w:jc w:val="both"/>
              <w:rPr>
                <w:rFonts w:ascii="Times New Roman" w:hAnsi="Times New Roman" w:cs="Times New Roman"/>
                <w:sz w:val="24"/>
                <w:szCs w:val="24"/>
              </w:rPr>
            </w:pPr>
            <w:r>
              <w:rPr>
                <w:rFonts w:ascii="Times New Roman" w:hAnsi="Times New Roman" w:cs="Times New Roman"/>
                <w:sz w:val="24"/>
                <w:szCs w:val="24"/>
              </w:rPr>
              <w:t xml:space="preserve">2) встановлена законом або чинним судовим рішенням, що набрало законної сили, заборона щодо укладення договору з доступу; </w:t>
            </w:r>
          </w:p>
          <w:p>
            <w:pPr>
              <w:jc w:val="both"/>
              <w:rPr>
                <w:rFonts w:ascii="Times New Roman" w:hAnsi="Times New Roman" w:cs="Times New Roman"/>
                <w:sz w:val="24"/>
                <w:szCs w:val="24"/>
              </w:rPr>
            </w:pPr>
            <w:r>
              <w:rPr>
                <w:rFonts w:ascii="Times New Roman" w:hAnsi="Times New Roman" w:cs="Times New Roman"/>
                <w:sz w:val="24"/>
                <w:szCs w:val="24"/>
              </w:rPr>
              <w:t xml:space="preserve">3) ліквідація (знищення) або розібрання демонтаж окремих елементів інфраструктури БРМ після надходження до її власника звернення про укладення договору з доступу; </w:t>
            </w:r>
          </w:p>
          <w:p>
            <w:pPr>
              <w:jc w:val="both"/>
              <w:rPr>
                <w:rFonts w:ascii="Times New Roman" w:hAnsi="Times New Roman" w:cs="Times New Roman"/>
                <w:sz w:val="24"/>
                <w:szCs w:val="24"/>
              </w:rPr>
            </w:pPr>
            <w:r>
              <w:rPr>
                <w:rFonts w:ascii="Times New Roman" w:hAnsi="Times New Roman" w:cs="Times New Roman"/>
                <w:sz w:val="24"/>
                <w:szCs w:val="24"/>
              </w:rPr>
              <w:t>4) ненадання замовником документів, передбачених пунктом 2 розділу V цих Правил.</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VII. Порядок та строки укладання договору з доступу до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1. Укладання договору з доступу здійснюється сторонами відповідно до законодавства та у строк, що не може перевищувати один місяць з дня надходження власникові документів, передбачених пунктом 2 розділу V цих Правил.</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2. Договір з доступу повинен відповідати нормам чинного законодавства та містити наступні істотні </w:t>
            </w:r>
            <w:r>
              <w:rPr>
                <w:rFonts w:ascii="Times New Roman" w:hAnsi="Times New Roman" w:cs="Times New Roman"/>
                <w:sz w:val="24"/>
                <w:szCs w:val="24"/>
              </w:rPr>
              <w:lastRenderedPageBreak/>
              <w:t>умови: 1) повне найменування сторін договору з доступу до інфраструктури БРМ; 2) детально визначені елементи інфраструктури БРМ, якими користується замовник на підставі договору з доступу; 3) конкретно визначені технічні засоби телекомунікацій, розміщені в/на елементах інфраструктури БРМ, якими користується замовник на підставі договору з доступу; 4) розмір плати за доступ, визначений згідно з методикою визначення плати за доступ до елементів інфраструктури БРМ; 5) порядок доступу до інфраструктури БРМ до технічних засобів телекомунікацій, розміщених в/на елементах інфраструктури БРМ, якими користується замовник на підставі договору з доступу; 6) умови захисту технічних засобів телекомунікацій, розміщених на елементах інфраструктури БРМ, якими користується замовник на підставі договору з доступу; 7) порядок здійснення власником контролю за користуванням замовником визначеними елементами інфраструктури БРМ відповідно до договору з доступу; 8) строк дії договору з доступу (з можливістю його продовження у порядку, визначеному сторонами); 9) відповідальність сторін; 10) умови розірвання договору з доступу до інфраструктури БРМ; 10 11) особливості порядку внесення змін до договору з доступу до інфраструктури БРМ; 12) інші умови, щодо яких за заявою хоча б однієї із сторін має бути досягнуто згоди.</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VIII. Порядок та умови розірвання договору з доступу до інфраструктури БРМ та/або його припинення</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1. Власник не має права розірвати договір з доступу без згоди замовника або відмовити йому у продовженні строку дії договору з доступу, за </w:t>
            </w:r>
            <w:r>
              <w:rPr>
                <w:rFonts w:ascii="Times New Roman" w:hAnsi="Times New Roman" w:cs="Times New Roman"/>
                <w:sz w:val="24"/>
                <w:szCs w:val="24"/>
              </w:rPr>
              <w:lastRenderedPageBreak/>
              <w:t>умови належного виконання замовником умов договору з доступу. Договір з доступу може бути розірвано достроково за ініціативою власника у разі наявності у замовника прострочення з оплати послуг з доступу до інфраструктури БРМ понад три місяці.</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2. У разі зміни власника до нового власника переходять права і обов’язки за договором з доступу без стягнення із замовника додаткової плати. Реорганізація або зміна власника не є підставою для зміни умов чи розірвання договору з доступу.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3. Сторони зобов’язані попередити одна одну про розірвання договору з доступу не менше ніж за 4 (чотири) місяці до закінчення строку дії договору з доступу. </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4. Спори, які виникають на етапі розірвання договору з доступу, вирішуються сторонами шляхом проведення двосторонніх консультацій та переговорів. У разі неможливості вирішення їх шляхом проведення двосторонніх консультацій та переговорів сторони можуть провести досудове врегулювання спору </w:t>
            </w:r>
            <w:proofErr w:type="gramStart"/>
            <w:r>
              <w:rPr>
                <w:rFonts w:ascii="Times New Roman" w:hAnsi="Times New Roman" w:cs="Times New Roman"/>
                <w:sz w:val="24"/>
                <w:szCs w:val="24"/>
              </w:rPr>
              <w:t>в порядку</w:t>
            </w:r>
            <w:proofErr w:type="gramEnd"/>
            <w:r>
              <w:rPr>
                <w:rFonts w:ascii="Times New Roman" w:hAnsi="Times New Roman" w:cs="Times New Roman"/>
                <w:sz w:val="24"/>
                <w:szCs w:val="24"/>
              </w:rPr>
              <w:t xml:space="preserve">, встановленому законодавством. Якщо за результатами врегулювання спору з’ясовано, що сторони не можуть дійти згоди щодо розірвання договору з доступу, кожна із сторін може ініціювати вирішення спору </w:t>
            </w:r>
            <w:proofErr w:type="gramStart"/>
            <w:r>
              <w:rPr>
                <w:rFonts w:ascii="Times New Roman" w:hAnsi="Times New Roman" w:cs="Times New Roman"/>
                <w:sz w:val="24"/>
                <w:szCs w:val="24"/>
              </w:rPr>
              <w:t>в судовому порядку</w:t>
            </w:r>
            <w:proofErr w:type="gramEnd"/>
            <w:r>
              <w:rPr>
                <w:rFonts w:ascii="Times New Roman" w:hAnsi="Times New Roman" w:cs="Times New Roman"/>
                <w:sz w:val="24"/>
                <w:szCs w:val="24"/>
              </w:rPr>
              <w:t>.</w:t>
            </w:r>
          </w:p>
        </w:tc>
        <w:tc>
          <w:tcPr>
            <w:tcW w:w="5670" w:type="dxa"/>
          </w:tcPr>
          <w:p>
            <w:pPr>
              <w:jc w:val="both"/>
              <w:rPr>
                <w:rFonts w:ascii="Times New Roman" w:hAnsi="Times New Roman" w:cs="Times New Roman"/>
                <w:sz w:val="24"/>
                <w:szCs w:val="24"/>
                <w:lang w:val="uk-UA"/>
              </w:rPr>
            </w:pPr>
            <w:r>
              <w:rPr>
                <w:rFonts w:ascii="Times New Roman" w:hAnsi="Times New Roman" w:cs="Times New Roman"/>
                <w:b/>
                <w:i/>
                <w:color w:val="000000"/>
                <w:sz w:val="24"/>
                <w:szCs w:val="27"/>
                <w:shd w:val="clear" w:color="auto" w:fill="FFFFFF"/>
                <w:lang w:val="uk-UA"/>
              </w:rPr>
              <w:t xml:space="preserve">4.Спори, пов’язані з ухиленням від укладення договору з доступу, </w:t>
            </w:r>
            <w:r>
              <w:rPr>
                <w:rFonts w:ascii="Times New Roman" w:hAnsi="Times New Roman" w:cs="Times New Roman"/>
                <w:b/>
                <w:i/>
                <w:sz w:val="24"/>
                <w:szCs w:val="27"/>
                <w:lang w:val="uk-UA"/>
              </w:rPr>
              <w:t>на етапі укладання договору з доступу, продовження строку дії договору з доступу</w:t>
            </w:r>
            <w:r>
              <w:rPr>
                <w:rFonts w:ascii="Times New Roman" w:hAnsi="Times New Roman" w:cs="Times New Roman"/>
                <w:i/>
                <w:sz w:val="24"/>
                <w:szCs w:val="27"/>
                <w:lang w:val="uk-UA"/>
              </w:rPr>
              <w:t>,</w:t>
            </w:r>
            <w:r>
              <w:rPr>
                <w:rFonts w:ascii="Times New Roman" w:hAnsi="Times New Roman" w:cs="Times New Roman"/>
                <w:szCs w:val="24"/>
              </w:rPr>
              <w:t xml:space="preserve"> на етапі розірвання договору з доступу</w:t>
            </w:r>
            <w:r>
              <w:rPr>
                <w:rFonts w:ascii="Times New Roman" w:hAnsi="Times New Roman" w:cs="Times New Roman"/>
                <w:szCs w:val="24"/>
                <w:lang w:val="uk-UA"/>
              </w:rPr>
              <w:t xml:space="preserve"> </w:t>
            </w:r>
            <w:r>
              <w:rPr>
                <w:rFonts w:ascii="Times New Roman" w:hAnsi="Times New Roman" w:cs="Times New Roman"/>
                <w:b/>
                <w:i/>
                <w:sz w:val="24"/>
                <w:szCs w:val="27"/>
                <w:lang w:val="uk-UA"/>
              </w:rPr>
              <w:t xml:space="preserve">можуть вирішуватися сторонами шляхом проведення двосторонніх консультацій та переговорів. </w:t>
            </w:r>
            <w:r>
              <w:rPr>
                <w:rFonts w:ascii="Times New Roman" w:hAnsi="Times New Roman" w:cs="Times New Roman"/>
                <w:b/>
                <w:i/>
                <w:sz w:val="24"/>
                <w:szCs w:val="27"/>
              </w:rPr>
              <w:t xml:space="preserve">Якщо за результатами врегулювання спору з'ясовано, що сторони не можуть дійти згоди кожна із сторін може ініціювати вирішення спору </w:t>
            </w:r>
            <w:proofErr w:type="gramStart"/>
            <w:r>
              <w:rPr>
                <w:rFonts w:ascii="Times New Roman" w:hAnsi="Times New Roman" w:cs="Times New Roman"/>
                <w:b/>
                <w:i/>
                <w:sz w:val="24"/>
                <w:szCs w:val="27"/>
              </w:rPr>
              <w:t>в судовому порядку</w:t>
            </w:r>
            <w:proofErr w:type="gramEnd"/>
            <w:r>
              <w:rPr>
                <w:rFonts w:ascii="Times New Roman" w:hAnsi="Times New Roman" w:cs="Times New Roman"/>
                <w:b/>
                <w:i/>
                <w:sz w:val="24"/>
                <w:szCs w:val="27"/>
                <w:lang w:val="uk-UA"/>
              </w:rPr>
              <w:t>.</w:t>
            </w:r>
          </w:p>
        </w:tc>
        <w:tc>
          <w:tcPr>
            <w:tcW w:w="3366"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Доповнено, оскільки Законом надано право також такі спори вирішувати щляхом двосторонніх консультацій.</w:t>
            </w:r>
          </w:p>
        </w:tc>
      </w:tr>
      <w:tr>
        <w:tc>
          <w:tcPr>
            <w:tcW w:w="5524"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доповнено</w:t>
            </w:r>
          </w:p>
        </w:tc>
        <w:tc>
          <w:tcPr>
            <w:tcW w:w="5670" w:type="dxa"/>
          </w:tcPr>
          <w:p>
            <w:pPr>
              <w:jc w:val="both"/>
              <w:rPr>
                <w:rFonts w:ascii="Times New Roman" w:hAnsi="Times New Roman" w:cs="Times New Roman"/>
                <w:b/>
                <w:i/>
                <w:color w:val="000000"/>
                <w:sz w:val="24"/>
                <w:szCs w:val="27"/>
                <w:shd w:val="clear" w:color="auto" w:fill="FFFFFF"/>
                <w:lang w:val="uk-UA"/>
              </w:rPr>
            </w:pPr>
            <w:r>
              <w:rPr>
                <w:rFonts w:ascii="Times New Roman" w:hAnsi="Times New Roman" w:cs="Times New Roman"/>
                <w:b/>
                <w:i/>
                <w:sz w:val="24"/>
                <w:szCs w:val="27"/>
                <w:lang w:val="uk-UA"/>
              </w:rPr>
              <w:t>5.</w:t>
            </w:r>
            <w:r>
              <w:rPr>
                <w:rFonts w:ascii="Times New Roman" w:hAnsi="Times New Roman" w:cs="Times New Roman"/>
                <w:b/>
                <w:i/>
                <w:sz w:val="24"/>
                <w:szCs w:val="27"/>
              </w:rPr>
              <w:t xml:space="preserve">Якщо сторони не повідомили одна одну про розірвання договору з доступу, </w:t>
            </w:r>
            <w:r>
              <w:rPr>
                <w:rFonts w:ascii="Times New Roman" w:hAnsi="Times New Roman" w:cs="Times New Roman"/>
                <w:b/>
                <w:i/>
                <w:sz w:val="24"/>
                <w:szCs w:val="27"/>
                <w:lang w:val="uk-UA"/>
              </w:rPr>
              <w:t>то він</w:t>
            </w:r>
            <w:r>
              <w:rPr>
                <w:rFonts w:ascii="Times New Roman" w:hAnsi="Times New Roman" w:cs="Times New Roman"/>
                <w:b/>
                <w:i/>
                <w:sz w:val="24"/>
                <w:szCs w:val="27"/>
              </w:rPr>
              <w:t xml:space="preserve"> вважається продовженим на строк, обумовлений у договорі з доступу. Положення цього пункту застосовується на кожний наступний період, неодноразово</w:t>
            </w:r>
            <w:r>
              <w:rPr>
                <w:rFonts w:ascii="Times New Roman" w:hAnsi="Times New Roman" w:cs="Times New Roman"/>
                <w:b/>
                <w:i/>
                <w:sz w:val="24"/>
                <w:szCs w:val="27"/>
                <w:lang w:val="uk-UA"/>
              </w:rPr>
              <w:t>.</w:t>
            </w:r>
          </w:p>
        </w:tc>
        <w:tc>
          <w:tcPr>
            <w:tcW w:w="3366"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Доповнено механізмом пролонгації договору.</w:t>
            </w: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IX. Порядок та умови припинення користування елементами інфраструктурою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1. Замовник повинен терміново припинити користування елементами інфраструктури БРМ в таких випадках: 1) закінчення строку дії договору з доступу та його не продовження; 2) наявності відповідного судового рішення, що набрало законної сили.</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2. У разі розірвання договору з ініціативи замовника або закінчення строку його дії, замовник зобов’язаний демонтувати технічні засоби телекомунікацій протягом 20 (двадцяти) робочих днів з дня розірвання договору або іншого строку, письмово узгодженого сторонами, закінчення строку його дії, якщо договором не передбачено інше.</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3. Якщо замовник не проведе демонтаж технічних засобів телекомунікацій у вищевказані строки, власник має право демонтувати технічні засоби телекомунікацій за власний рахунок з відшкодуванням збитків власнику відповідно до законодавства.</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7"/>
                <w:lang w:val="uk-UA"/>
              </w:rPr>
              <w:t xml:space="preserve">3. Якщо замовник не проведе демонтаж технічних засобів телекомунікацій у вищевказані строки, власник має право демонтувати технічні засоби телекомунікацій за власний рахунок з </w:t>
            </w:r>
            <w:r>
              <w:rPr>
                <w:rFonts w:ascii="Times New Roman" w:hAnsi="Times New Roman" w:cs="Times New Roman"/>
                <w:b/>
                <w:sz w:val="24"/>
                <w:szCs w:val="27"/>
                <w:lang w:val="uk-UA"/>
              </w:rPr>
              <w:t>відшкодуванням власнику витрат, безпосередньо пов’язаних з демонтажем</w:t>
            </w:r>
            <w:r>
              <w:rPr>
                <w:rFonts w:ascii="Times New Roman" w:hAnsi="Times New Roman" w:cs="Times New Roman"/>
                <w:sz w:val="24"/>
                <w:szCs w:val="27"/>
                <w:lang w:val="uk-UA"/>
              </w:rPr>
              <w:t>,  відповідно до законодавства.</w:t>
            </w:r>
          </w:p>
        </w:tc>
        <w:tc>
          <w:tcPr>
            <w:tcW w:w="3366"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Відшкодування за здійснений демонтаж може відбуватися виключно за фактично понесені витрати, що прямо пов’язані з демонтажем.</w:t>
            </w: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4. У разі дії договору з доступу демонтаж технічних засобів телекомунікацій, що знаходяться на елементах інфраструктури БРМ та які є частиною телекомунікаційної мережі, до якої під’єднане хоча б одне кінцеве обладнання споживача, можливий лише власником технічних засобів телекомунікацій за рішенням суду, що набрало законної сили.</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X. Порядок демонтажу технічних засобів телекомунікацій, розміщених без укладання договору з доступу до інфраструктури БРМ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1. З метою безпечного та правомірного доступу до інфраструктури БРМ власник на постійній основі здійснює огляд елементів інфраструктури БРМ на предмет виявлення неправомірного (відсутності договору з доступу) користування елементами </w:t>
            </w:r>
            <w:r>
              <w:rPr>
                <w:rFonts w:ascii="Times New Roman" w:hAnsi="Times New Roman" w:cs="Times New Roman"/>
                <w:sz w:val="24"/>
                <w:szCs w:val="24"/>
              </w:rPr>
              <w:lastRenderedPageBreak/>
              <w:t>інфраструктури БРМ, а також для перевірки відповідності кількості використовуваних елементів інфраструктури БРМ умовам укладених договорів з доступу.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Без зауважень</w:t>
            </w:r>
          </w:p>
        </w:tc>
        <w:tc>
          <w:tcPr>
            <w:tcW w:w="3366" w:type="dxa"/>
          </w:tcPr>
          <w:p>
            <w:pPr>
              <w:jc w:val="both"/>
              <w:rPr>
                <w:rFonts w:ascii="Times New Roman" w:hAnsi="Times New Roman" w:cs="Times New Roman"/>
                <w:sz w:val="24"/>
                <w:szCs w:val="24"/>
                <w:lang w:val="uk-UA"/>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2. У разі виявлення факту неправомірного розміщення технічних засобів телекомунікацій, власник складає Акт про виявлення порушення неправомірного розміщення технічних засобів телекомунікацій (далі – Акт) та розміщує на своєму веб-сайті інформацію про неправомірне розміщення технічних засобів телекомунікацій (із зазначенням їх типу і адрес елементів інфраструктури) та відповідний Акт.</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2. У разі виявлення факту неправомірного розміщення технічних засобів телекомунікацій, власник складає Акт про виявлення порушення неправомірного розміщення технічних засобів телекомунікацій (далі – Акт) та розміщує на своєму веб-сайті інформацію про неправомірне розміщення технічних засобів телекомунікацій (із зазначенням їх типу і адрес елементів інфраструктури) та відповідний Акт.</w:t>
            </w:r>
          </w:p>
          <w:p>
            <w:pPr>
              <w:ind w:firstLine="567"/>
              <w:jc w:val="both"/>
              <w:rPr>
                <w:rFonts w:ascii="Times New Roman" w:hAnsi="Times New Roman" w:cs="Times New Roman"/>
                <w:b/>
                <w:i/>
                <w:sz w:val="24"/>
                <w:szCs w:val="27"/>
                <w:lang w:val="uk-UA"/>
              </w:rPr>
            </w:pPr>
            <w:r>
              <w:rPr>
                <w:rFonts w:ascii="Times New Roman" w:hAnsi="Times New Roman" w:cs="Times New Roman"/>
                <w:b/>
                <w:i/>
                <w:sz w:val="24"/>
                <w:szCs w:val="27"/>
                <w:lang w:val="uk-UA"/>
              </w:rPr>
              <w:t>Власник вживає заходів для виклику представника власника технічних засобів телекомунікацій на місце виявлення порушення з метою складання Акту про виявлення факту порушення та його підписання представником власника технічних засобів телекомунікацій.</w:t>
            </w:r>
          </w:p>
          <w:p>
            <w:pPr>
              <w:ind w:firstLine="567"/>
              <w:jc w:val="both"/>
              <w:rPr>
                <w:rFonts w:ascii="Times New Roman" w:hAnsi="Times New Roman" w:cs="Times New Roman"/>
                <w:b/>
                <w:i/>
                <w:sz w:val="24"/>
                <w:szCs w:val="27"/>
              </w:rPr>
            </w:pPr>
            <w:r>
              <w:rPr>
                <w:rFonts w:ascii="Times New Roman" w:hAnsi="Times New Roman" w:cs="Times New Roman"/>
                <w:b/>
                <w:i/>
                <w:sz w:val="24"/>
                <w:szCs w:val="27"/>
              </w:rPr>
              <w:t>Власник (володілець) технічних засобів телекомунікацій зобов’язаний надати свого представника для складання акту протягом 3 (трьох) робочих днів з дати звернення Власника інфраструктури об’єкта будівництва.</w:t>
            </w:r>
          </w:p>
          <w:p>
            <w:pPr>
              <w:jc w:val="both"/>
              <w:rPr>
                <w:rFonts w:ascii="Times New Roman" w:hAnsi="Times New Roman" w:cs="Times New Roman"/>
                <w:b/>
                <w:i/>
                <w:szCs w:val="24"/>
              </w:rPr>
            </w:pPr>
            <w:r>
              <w:rPr>
                <w:rFonts w:ascii="Times New Roman" w:hAnsi="Times New Roman" w:cs="Times New Roman"/>
                <w:b/>
                <w:i/>
                <w:sz w:val="24"/>
                <w:szCs w:val="27"/>
              </w:rPr>
              <w:t xml:space="preserve">У разі відмови або неявки представника власника (володільця) технічних засобів телекомунікацій Акт складається без його участі, про що робиться відповідний запис в Акті. Один екземпляр Акту направляється </w:t>
            </w:r>
            <w:proofErr w:type="gramStart"/>
            <w:r>
              <w:rPr>
                <w:rFonts w:ascii="Times New Roman" w:hAnsi="Times New Roman" w:cs="Times New Roman"/>
                <w:b/>
                <w:i/>
                <w:sz w:val="24"/>
                <w:szCs w:val="27"/>
              </w:rPr>
              <w:t>на</w:t>
            </w:r>
            <w:r>
              <w:rPr>
                <w:rFonts w:ascii="Times New Roman" w:hAnsi="Times New Roman" w:cs="Times New Roman"/>
                <w:b/>
                <w:i/>
                <w:sz w:val="24"/>
                <w:szCs w:val="27"/>
                <w:lang w:val="uk-UA"/>
              </w:rPr>
              <w:t xml:space="preserve"> </w:t>
            </w:r>
            <w:r>
              <w:rPr>
                <w:rFonts w:ascii="Times New Roman" w:hAnsi="Times New Roman" w:cs="Times New Roman"/>
                <w:b/>
                <w:i/>
                <w:sz w:val="24"/>
                <w:szCs w:val="27"/>
              </w:rPr>
              <w:t>адресу</w:t>
            </w:r>
            <w:proofErr w:type="gramEnd"/>
            <w:r>
              <w:rPr>
                <w:rFonts w:ascii="Times New Roman" w:hAnsi="Times New Roman" w:cs="Times New Roman"/>
                <w:b/>
                <w:i/>
                <w:sz w:val="24"/>
                <w:szCs w:val="27"/>
              </w:rPr>
              <w:t xml:space="preserve"> місцезнаходження власника технічних засобів телекомунікацій</w:t>
            </w:r>
          </w:p>
          <w:p>
            <w:pPr>
              <w:jc w:val="both"/>
              <w:rPr>
                <w:rFonts w:ascii="Times New Roman" w:hAnsi="Times New Roman" w:cs="Times New Roman"/>
                <w:b/>
                <w:i/>
                <w:szCs w:val="24"/>
              </w:rPr>
            </w:pPr>
          </w:p>
          <w:p>
            <w:pPr>
              <w:jc w:val="both"/>
              <w:rPr>
                <w:rFonts w:ascii="Times New Roman" w:hAnsi="Times New Roman" w:cs="Times New Roman"/>
                <w:sz w:val="24"/>
                <w:szCs w:val="24"/>
              </w:rPr>
            </w:pPr>
          </w:p>
        </w:tc>
        <w:tc>
          <w:tcPr>
            <w:tcW w:w="3366" w:type="dxa"/>
          </w:tcPr>
          <w:p>
            <w:pPr>
              <w:jc w:val="both"/>
              <w:rPr>
                <w:rFonts w:ascii="Times New Roman" w:hAnsi="Times New Roman" w:cs="Times New Roman"/>
                <w:sz w:val="24"/>
                <w:szCs w:val="24"/>
              </w:rPr>
            </w:pPr>
            <w:r>
              <w:rPr>
                <w:rFonts w:ascii="Times New Roman" w:hAnsi="Times New Roman" w:cs="Times New Roman"/>
                <w:sz w:val="24"/>
                <w:szCs w:val="24"/>
                <w:lang w:val="uk-UA"/>
              </w:rPr>
              <w:t>З метою уникнення необґрунтованого демонтажу технічних засобів</w:t>
            </w: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3. Власник неправомірно розміщених технічних засобів телекомунікацій, здійснює демонтаж неправомірно розміщених технічних засобів </w:t>
            </w:r>
            <w:r>
              <w:rPr>
                <w:rFonts w:ascii="Times New Roman" w:hAnsi="Times New Roman" w:cs="Times New Roman"/>
                <w:sz w:val="24"/>
                <w:szCs w:val="24"/>
              </w:rPr>
              <w:lastRenderedPageBreak/>
              <w:t>телекомунікації не пізніше 5 робочих днів з дня складання Акта.</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Власник неправомірно розміщених технічних засобів телекомунікацій, здійснює демонтаж неправомірно розміщених технічних засобів телекомунікації не пізніше </w:t>
            </w:r>
            <w:r>
              <w:rPr>
                <w:rFonts w:ascii="Times New Roman" w:hAnsi="Times New Roman" w:cs="Times New Roman"/>
                <w:b/>
                <w:sz w:val="24"/>
                <w:szCs w:val="24"/>
                <w:lang w:val="uk-UA"/>
              </w:rPr>
              <w:t>1</w:t>
            </w:r>
            <w:r>
              <w:rPr>
                <w:rFonts w:ascii="Times New Roman" w:hAnsi="Times New Roman" w:cs="Times New Roman"/>
                <w:b/>
                <w:sz w:val="24"/>
                <w:szCs w:val="24"/>
              </w:rPr>
              <w:t>5</w:t>
            </w:r>
            <w:r>
              <w:rPr>
                <w:rFonts w:ascii="Times New Roman" w:hAnsi="Times New Roman" w:cs="Times New Roman"/>
                <w:sz w:val="24"/>
                <w:szCs w:val="24"/>
              </w:rPr>
              <w:t xml:space="preserve"> робочих днів з дня </w:t>
            </w:r>
            <w:r>
              <w:rPr>
                <w:rFonts w:ascii="Times New Roman" w:hAnsi="Times New Roman" w:cs="Times New Roman"/>
                <w:sz w:val="24"/>
                <w:szCs w:val="24"/>
              </w:rPr>
              <w:lastRenderedPageBreak/>
              <w:t xml:space="preserve">складання Акта </w:t>
            </w:r>
            <w:r>
              <w:rPr>
                <w:rFonts w:ascii="Times New Roman" w:hAnsi="Times New Roman" w:cs="Times New Roman"/>
                <w:b/>
                <w:sz w:val="24"/>
                <w:szCs w:val="24"/>
              </w:rPr>
              <w:t>та</w:t>
            </w:r>
            <w:r>
              <w:rPr>
                <w:rFonts w:ascii="Times New Roman" w:hAnsi="Times New Roman" w:cs="Times New Roman"/>
                <w:b/>
                <w:sz w:val="24"/>
                <w:szCs w:val="24"/>
                <w:lang w:val="uk-UA"/>
              </w:rPr>
              <w:t xml:space="preserve"> розміщення</w:t>
            </w:r>
            <w:r>
              <w:rPr>
                <w:rFonts w:ascii="Times New Roman" w:hAnsi="Times New Roman" w:cs="Times New Roman"/>
                <w:b/>
                <w:sz w:val="24"/>
                <w:szCs w:val="24"/>
              </w:rPr>
              <w:t xml:space="preserve"> інформації на своєму веб-сайті</w:t>
            </w:r>
            <w:r>
              <w:rPr>
                <w:rFonts w:ascii="Times New Roman" w:hAnsi="Times New Roman" w:cs="Times New Roman"/>
                <w:b/>
                <w:sz w:val="24"/>
                <w:szCs w:val="24"/>
                <w:lang w:val="uk-UA"/>
              </w:rPr>
              <w:t>.</w:t>
            </w:r>
            <w:r>
              <w:rPr>
                <w:rFonts w:ascii="Times New Roman" w:hAnsi="Times New Roman" w:cs="Times New Roman"/>
                <w:sz w:val="24"/>
                <w:szCs w:val="24"/>
              </w:rPr>
              <w:t xml:space="preserve"> </w:t>
            </w:r>
          </w:p>
        </w:tc>
        <w:tc>
          <w:tcPr>
            <w:tcW w:w="3366" w:type="dxa"/>
          </w:tcPr>
          <w:p>
            <w:pPr>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Приведено у відповідність до пункту 2 та 4 проекту Правил.</w:t>
            </w:r>
          </w:p>
          <w:p>
            <w:pPr>
              <w:jc w:val="both"/>
              <w:rPr>
                <w:rFonts w:ascii="Times New Roman" w:hAnsi="Times New Roman" w:cs="Times New Roman"/>
                <w:b/>
                <w:sz w:val="24"/>
                <w:szCs w:val="24"/>
                <w:lang w:val="uk-UA"/>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4. У разі, якщо протягом 15 робочих днів з дати розміщення інформації на веб-сайті власник (володілець) технічних засобів телекомунікацій не здійснить демонтаж технічних засобів телекомунікацій, власник вправі самостійно їх демонтувати.</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5. Ремонт об’єкта будівництва (його конструктивних елементів), необхідність проведення якого була зумовлена пошкодженням, пов’язаним з демонтажем технічних засобів телекомунікацій, здійснюється за рахунок сторони, яка здійснює такий демонтаж.</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t xml:space="preserve">XI. Відповідальність за порушення доступу до інфраструктури БРМ </w:t>
            </w:r>
          </w:p>
        </w:tc>
        <w:tc>
          <w:tcPr>
            <w:tcW w:w="5670" w:type="dxa"/>
          </w:tcPr>
          <w:p>
            <w:pPr>
              <w:jc w:val="both"/>
              <w:rPr>
                <w:rFonts w:ascii="Times New Roman" w:hAnsi="Times New Roman" w:cs="Times New Roman"/>
                <w:sz w:val="24"/>
                <w:szCs w:val="24"/>
              </w:rPr>
            </w:pP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1. Істотні умови захисту власником інфраструктури БРМ технічних засобів телекомунікацій, розміщених на елементах інфраструктури БРМ від їх умисного пошкодження (демонтажу або руйнування) повинні бути зазначені в договорі з доступу.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2. Контроль за розміщенням технічних засобів телекомунікації в багатоквартирних будинках, будівлях та спорудах покладається на власника.</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3. Власники зобов’язані вживати відповідно до законодавства технічних та організаційних заходів із захисту технічних засобів телекомунікацій замовника, що розташовані на елементах інфраструктури БРМ власника відповідно </w:t>
            </w:r>
            <w:proofErr w:type="gramStart"/>
            <w:r>
              <w:rPr>
                <w:rFonts w:ascii="Times New Roman" w:hAnsi="Times New Roman" w:cs="Times New Roman"/>
                <w:sz w:val="24"/>
                <w:szCs w:val="24"/>
              </w:rPr>
              <w:t>до договору</w:t>
            </w:r>
            <w:proofErr w:type="gramEnd"/>
            <w:r>
              <w:rPr>
                <w:rFonts w:ascii="Times New Roman" w:hAnsi="Times New Roman" w:cs="Times New Roman"/>
                <w:sz w:val="24"/>
                <w:szCs w:val="24"/>
              </w:rPr>
              <w:t xml:space="preserve"> з доступу.</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 xml:space="preserve">4. Власник несе відповідальність за пошкодження (демонтаж або руйнування) технічних засобів телекомунікацій, розміщених на елементах інфраструктури БРМ, якщо ці дії призвели або </w:t>
            </w:r>
            <w:r>
              <w:rPr>
                <w:rFonts w:ascii="Times New Roman" w:hAnsi="Times New Roman" w:cs="Times New Roman"/>
                <w:sz w:val="24"/>
                <w:szCs w:val="24"/>
              </w:rPr>
              <w:lastRenderedPageBreak/>
              <w:t>могли призвести до порушення штатного режиму роботи технічних засобів телекомунікацій.</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5. Відповідальність за пошкодження конструктивних елементів багатоквартирних будинків, будівель та споруд в результаті розміщення технічних засобів телекомунікації, не передбачену погодженою технічною документацією, несе власник таких технічних засобів телекомунікації.</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 xml:space="preserve">5. Відповідальність за пошкодження конструктивних елементів багатоквартирних будинків, будівель та споруд в результаті розміщення технічних засобів телекомунікації, не передбачену погодженою </w:t>
            </w:r>
            <w:r>
              <w:rPr>
                <w:rFonts w:ascii="Times New Roman" w:hAnsi="Times New Roman" w:cs="Times New Roman"/>
                <w:b/>
                <w:i/>
                <w:sz w:val="24"/>
                <w:szCs w:val="24"/>
                <w:lang w:val="uk-UA"/>
              </w:rPr>
              <w:t>проектною</w:t>
            </w:r>
            <w:r>
              <w:rPr>
                <w:rFonts w:ascii="Times New Roman" w:hAnsi="Times New Roman" w:cs="Times New Roman"/>
                <w:sz w:val="24"/>
                <w:szCs w:val="24"/>
              </w:rPr>
              <w:t xml:space="preserve"> документацією, несе власник таких технічних засобів телекомунікації.</w:t>
            </w:r>
          </w:p>
        </w:tc>
        <w:tc>
          <w:tcPr>
            <w:tcW w:w="3366" w:type="dxa"/>
          </w:tcPr>
          <w:p>
            <w:pPr>
              <w:jc w:val="both"/>
              <w:rPr>
                <w:rFonts w:ascii="Times New Roman" w:hAnsi="Times New Roman" w:cs="Times New Roman"/>
                <w:sz w:val="24"/>
                <w:szCs w:val="24"/>
              </w:rPr>
            </w:pPr>
            <w:r>
              <w:rPr>
                <w:rFonts w:ascii="Times New Roman" w:hAnsi="Times New Roman" w:cs="Times New Roman"/>
                <w:color w:val="000000" w:themeColor="text1"/>
                <w:sz w:val="24"/>
                <w:szCs w:val="27"/>
                <w:shd w:val="clear" w:color="auto" w:fill="FFFFFF"/>
                <w:lang w:val="uk-UA"/>
              </w:rPr>
              <w:t xml:space="preserve">Законом України «Про доступ до об’єктів будівництва, транспорту, електроенергетики з метою розвитку телекомунікаційних мереж» </w:t>
            </w:r>
            <w:r>
              <w:rPr>
                <w:rFonts w:ascii="Times New Roman" w:hAnsi="Times New Roman" w:cs="Times New Roman"/>
                <w:i/>
                <w:color w:val="000000" w:themeColor="text1"/>
                <w:sz w:val="24"/>
                <w:szCs w:val="27"/>
                <w:shd w:val="clear" w:color="auto" w:fill="FFFFFF"/>
                <w:lang w:val="uk-UA"/>
              </w:rPr>
              <w:t>передбачено необхідність погодження не технічної документації, а проектної документації</w:t>
            </w: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6. Відповідальність за збереження та дотримання належного стану технічних засобів телекомунікації покладається на їх власника.</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7. Відповідальність за порушення правил розміщення технічних засобів телекомунікацій покладається на їх власника.</w:t>
            </w:r>
          </w:p>
        </w:tc>
        <w:tc>
          <w:tcPr>
            <w:tcW w:w="5670" w:type="dxa"/>
          </w:tcPr>
          <w:p>
            <w:pPr>
              <w:jc w:val="both"/>
              <w:rPr>
                <w:rFonts w:ascii="Times New Roman" w:hAnsi="Times New Roman" w:cs="Times New Roman"/>
                <w:b/>
                <w:sz w:val="24"/>
                <w:szCs w:val="24"/>
              </w:rPr>
            </w:pPr>
            <w:r>
              <w:rPr>
                <w:rFonts w:ascii="Times New Roman" w:hAnsi="Times New Roman" w:cs="Times New Roman"/>
                <w:b/>
                <w:i/>
                <w:color w:val="000000" w:themeColor="text1"/>
                <w:sz w:val="24"/>
                <w:szCs w:val="24"/>
                <w:shd w:val="clear" w:color="auto" w:fill="FFFFFF"/>
                <w:lang w:val="uk-UA"/>
              </w:rPr>
              <w:t>7.Відповідальність за розміщення технічних засобів телекомунікацій без дотримання вимог погодженої проектної документації покладається на їх власника.»</w:t>
            </w:r>
          </w:p>
        </w:tc>
        <w:tc>
          <w:tcPr>
            <w:tcW w:w="3366" w:type="dxa"/>
          </w:tcPr>
          <w:p>
            <w:pPr>
              <w:pStyle w:val="rvps2"/>
              <w:shd w:val="clear" w:color="auto" w:fill="FFFFFF"/>
              <w:spacing w:before="0" w:beforeAutospacing="0" w:after="0" w:afterAutospacing="0"/>
              <w:ind w:firstLine="567"/>
              <w:jc w:val="both"/>
              <w:textAlignment w:val="baseline"/>
              <w:rPr>
                <w:b/>
                <w:color w:val="000000"/>
                <w:lang w:val="uk-UA"/>
              </w:rPr>
            </w:pPr>
            <w:r>
              <w:rPr>
                <w:color w:val="000000" w:themeColor="text1"/>
                <w:shd w:val="clear" w:color="auto" w:fill="FFFFFF"/>
                <w:lang w:val="uk-UA"/>
              </w:rPr>
              <w:t xml:space="preserve">Згідно із Законом «Про доступ до об’єктів будівництва, транспорту, електроенергетики з метою розвитку телекомунікаційних мереж» розміщення таких засобів відбувається виключно на підставі погодженої </w:t>
            </w:r>
            <w:r>
              <w:rPr>
                <w:color w:val="000000"/>
                <w:lang w:val="uk-UA"/>
              </w:rPr>
              <w:t xml:space="preserve">проектної документації з доступу. Оскільки, статтею 1 Закону чітко встановлено, що  проектна документація з доступу до інфраструктури об’єкта доступу (далі - проектна документація з доступу) - текстові та графічні матеріали, розроблені відповідно до технічних умов з доступу, </w:t>
            </w:r>
            <w:r>
              <w:rPr>
                <w:b/>
                <w:color w:val="000000"/>
                <w:lang w:val="uk-UA"/>
              </w:rPr>
              <w:t xml:space="preserve">що визначають розміщення технічних засобів телекомунікацій замовника на елементах </w:t>
            </w:r>
            <w:r>
              <w:rPr>
                <w:b/>
                <w:color w:val="000000"/>
                <w:lang w:val="uk-UA"/>
              </w:rPr>
              <w:lastRenderedPageBreak/>
              <w:t xml:space="preserve">інфраструктури відповідного об’єкта доступу. </w:t>
            </w:r>
          </w:p>
          <w:p>
            <w:pPr>
              <w:pStyle w:val="rvps2"/>
              <w:shd w:val="clear" w:color="auto" w:fill="FFFFFF"/>
              <w:spacing w:before="0" w:beforeAutospacing="0" w:after="0" w:afterAutospacing="0"/>
              <w:ind w:firstLine="567"/>
              <w:jc w:val="both"/>
              <w:textAlignment w:val="baseline"/>
              <w:rPr>
                <w:color w:val="000000"/>
                <w:lang w:val="uk-UA"/>
              </w:rPr>
            </w:pPr>
            <w:r>
              <w:rPr>
                <w:color w:val="000000"/>
                <w:lang w:val="uk-UA"/>
              </w:rPr>
              <w:t xml:space="preserve">Отже, виходячи з наведеного вище визначення, якщо технічні засоби телекомунікацій замовника розміщені відповідно до погодженої проектної документації, то вважаємо в такому випадку не може бути застосована відповідальність стосовно Замовника доступу. </w:t>
            </w:r>
          </w:p>
          <w:p>
            <w:pPr>
              <w:pStyle w:val="rvps2"/>
              <w:shd w:val="clear" w:color="auto" w:fill="FFFFFF"/>
              <w:spacing w:before="0" w:beforeAutospacing="0" w:after="0" w:afterAutospacing="0"/>
              <w:ind w:firstLine="567"/>
              <w:jc w:val="both"/>
              <w:textAlignment w:val="baseline"/>
              <w:rPr>
                <w:color w:val="000000" w:themeColor="text1"/>
                <w:shd w:val="clear" w:color="auto" w:fill="FFFFFF"/>
                <w:lang w:val="uk-UA"/>
              </w:rPr>
            </w:pPr>
            <w:r>
              <w:rPr>
                <w:color w:val="000000"/>
                <w:lang w:val="uk-UA"/>
              </w:rPr>
              <w:t xml:space="preserve">Крім того, положення пункту 7 </w:t>
            </w:r>
            <w:r>
              <w:rPr>
                <w:color w:val="000000" w:themeColor="text1"/>
                <w:shd w:val="clear" w:color="auto" w:fill="FFFFFF"/>
                <w:lang w:val="uk-UA"/>
              </w:rPr>
              <w:t xml:space="preserve">розділу </w:t>
            </w:r>
            <w:r>
              <w:rPr>
                <w:color w:val="000000" w:themeColor="text1"/>
                <w:shd w:val="clear" w:color="auto" w:fill="FFFFFF"/>
                <w:lang w:val="en-US"/>
              </w:rPr>
              <w:t>XI</w:t>
            </w:r>
            <w:r>
              <w:rPr>
                <w:color w:val="000000" w:themeColor="text1"/>
                <w:shd w:val="clear" w:color="auto" w:fill="FFFFFF"/>
              </w:rPr>
              <w:t xml:space="preserve"> Проекту</w:t>
            </w:r>
            <w:r>
              <w:rPr>
                <w:color w:val="000000" w:themeColor="text1"/>
                <w:shd w:val="clear" w:color="auto" w:fill="FFFFFF"/>
                <w:lang w:val="uk-UA"/>
              </w:rPr>
              <w:t xml:space="preserve"> не є чіткими та вичерпним, а тому можуть призвести у подальшому до виникнення спору та зловживань зі сторони Власника.</w:t>
            </w:r>
          </w:p>
          <w:p>
            <w:pPr>
              <w:jc w:val="both"/>
              <w:rPr>
                <w:rFonts w:ascii="Times New Roman" w:hAnsi="Times New Roman" w:cs="Times New Roman"/>
                <w:sz w:val="24"/>
                <w:szCs w:val="24"/>
                <w:lang w:val="uk-UA"/>
              </w:rPr>
            </w:pPr>
          </w:p>
        </w:tc>
      </w:tr>
      <w:tr>
        <w:tc>
          <w:tcPr>
            <w:tcW w:w="5524" w:type="dxa"/>
          </w:tcPr>
          <w:p>
            <w:pPr>
              <w:jc w:val="both"/>
              <w:rPr>
                <w:rFonts w:ascii="Times New Roman" w:hAnsi="Times New Roman" w:cs="Times New Roman"/>
                <w:b/>
                <w:sz w:val="24"/>
                <w:szCs w:val="24"/>
              </w:rPr>
            </w:pPr>
            <w:r>
              <w:rPr>
                <w:rFonts w:ascii="Times New Roman" w:hAnsi="Times New Roman" w:cs="Times New Roman"/>
                <w:b/>
                <w:sz w:val="24"/>
                <w:szCs w:val="24"/>
              </w:rPr>
              <w:lastRenderedPageBreak/>
              <w:t>XIІ. Плата за доступ до інфраструктури БРМ</w:t>
            </w:r>
          </w:p>
        </w:tc>
        <w:tc>
          <w:tcPr>
            <w:tcW w:w="5670" w:type="dxa"/>
          </w:tcPr>
          <w:p>
            <w:pPr>
              <w:jc w:val="both"/>
              <w:rPr>
                <w:rFonts w:ascii="Times New Roman" w:hAnsi="Times New Roman" w:cs="Times New Roman"/>
                <w:sz w:val="24"/>
                <w:szCs w:val="24"/>
              </w:rPr>
            </w:pP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1. Розмір плати за доступ до елементів інфраструктури БРМ встановлюється договором з доступу згідно з методикою визначення плати за доступ до елементів інфраструктури БРМ, затвердженої Мінрегіоном.</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t>2. До затвердження методики визначення плати за доступ, оплата за доступ здійснюється на договірних засадах, погоджених між власником та замовником, але не повинна перевищувати граничних розмірів визначених Законом України «Про доступ до об’єктів будівництва, транспорту, електроенергетики з метою розвитку телекомунікаційних мереж».</w:t>
            </w: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2. До затвердження методики визначення плати за доступ, оплата за доступ здійснюється на договірних засадах, погоджених між власником та замовником, але не</w:t>
            </w:r>
            <w:r>
              <w:rPr>
                <w:rFonts w:ascii="Times New Roman" w:hAnsi="Times New Roman" w:cs="Times New Roman"/>
                <w:b/>
                <w:strike/>
                <w:sz w:val="24"/>
                <w:szCs w:val="24"/>
              </w:rPr>
              <w:t xml:space="preserve"> повинна </w:t>
            </w:r>
            <w:r>
              <w:rPr>
                <w:rFonts w:ascii="Times New Roman" w:hAnsi="Times New Roman" w:cs="Times New Roman"/>
                <w:b/>
                <w:sz w:val="24"/>
                <w:szCs w:val="24"/>
              </w:rPr>
              <w:t>перевищує</w:t>
            </w:r>
            <w:r>
              <w:rPr>
                <w:rFonts w:ascii="Times New Roman" w:hAnsi="Times New Roman" w:cs="Times New Roman"/>
                <w:sz w:val="24"/>
                <w:szCs w:val="24"/>
              </w:rPr>
              <w:t xml:space="preserve"> граничних розмірів визначених Законом України «Про доступ до об’єктів будівництва, транспорту, електроенергетики з метою розвитку телекомунікаційних мереж».</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rPr>
            </w:pPr>
            <w:r>
              <w:rPr>
                <w:rFonts w:ascii="Times New Roman" w:hAnsi="Times New Roman" w:cs="Times New Roman"/>
                <w:sz w:val="24"/>
                <w:szCs w:val="24"/>
              </w:rPr>
              <w:lastRenderedPageBreak/>
              <w:t>3. Розмір плати за доступ має бути сталим і не може змінюватися протягом одного року з дня укладення договору з доступу.</w:t>
            </w:r>
          </w:p>
          <w:p>
            <w:pPr>
              <w:jc w:val="both"/>
              <w:rPr>
                <w:rFonts w:ascii="Times New Roman" w:hAnsi="Times New Roman" w:cs="Times New Roman"/>
                <w:sz w:val="24"/>
                <w:szCs w:val="24"/>
              </w:rPr>
            </w:pPr>
          </w:p>
        </w:tc>
        <w:tc>
          <w:tcPr>
            <w:tcW w:w="5670" w:type="dxa"/>
          </w:tcPr>
          <w:p>
            <w:pPr>
              <w:jc w:val="both"/>
              <w:rPr>
                <w:rFonts w:ascii="Times New Roman" w:hAnsi="Times New Roman" w:cs="Times New Roman"/>
                <w:sz w:val="24"/>
                <w:szCs w:val="24"/>
              </w:rPr>
            </w:pPr>
            <w:r>
              <w:rPr>
                <w:rFonts w:ascii="Times New Roman" w:hAnsi="Times New Roman" w:cs="Times New Roman"/>
                <w:sz w:val="24"/>
                <w:szCs w:val="24"/>
              </w:rPr>
              <w:t>Без зауважень</w:t>
            </w:r>
          </w:p>
        </w:tc>
        <w:tc>
          <w:tcPr>
            <w:tcW w:w="3366" w:type="dxa"/>
          </w:tcPr>
          <w:p>
            <w:pPr>
              <w:jc w:val="both"/>
              <w:rPr>
                <w:rFonts w:ascii="Times New Roman" w:hAnsi="Times New Roman" w:cs="Times New Roman"/>
                <w:sz w:val="24"/>
                <w:szCs w:val="24"/>
              </w:rPr>
            </w:pPr>
          </w:p>
        </w:tc>
      </w:tr>
      <w:tr>
        <w:tc>
          <w:tcPr>
            <w:tcW w:w="5524" w:type="dxa"/>
          </w:tcPr>
          <w:p>
            <w:pPr>
              <w:jc w:val="both"/>
              <w:rPr>
                <w:rFonts w:ascii="Times New Roman" w:hAnsi="Times New Roman" w:cs="Times New Roman"/>
                <w:sz w:val="24"/>
                <w:szCs w:val="24"/>
                <w:lang w:val="uk-UA"/>
              </w:rPr>
            </w:pPr>
            <w:r>
              <w:rPr>
                <w:rFonts w:ascii="Times New Roman" w:hAnsi="Times New Roman" w:cs="Times New Roman"/>
                <w:sz w:val="24"/>
                <w:szCs w:val="24"/>
                <w:lang w:val="uk-UA"/>
              </w:rPr>
              <w:t>доповнено</w:t>
            </w:r>
          </w:p>
        </w:tc>
        <w:tc>
          <w:tcPr>
            <w:tcW w:w="5670" w:type="dxa"/>
          </w:tcPr>
          <w:p>
            <w:pPr>
              <w:jc w:val="both"/>
              <w:rPr>
                <w:rFonts w:ascii="Times New Roman" w:hAnsi="Times New Roman" w:cs="Times New Roman"/>
                <w:b/>
                <w:sz w:val="24"/>
                <w:szCs w:val="24"/>
              </w:rPr>
            </w:pPr>
            <w:r>
              <w:rPr>
                <w:rFonts w:ascii="Times New Roman" w:hAnsi="Times New Roman" w:cs="Times New Roman"/>
                <w:b/>
                <w:color w:val="000000" w:themeColor="text1"/>
                <w:sz w:val="24"/>
                <w:szCs w:val="27"/>
                <w:shd w:val="clear" w:color="auto" w:fill="FFFFFF"/>
                <w:lang w:val="uk-UA"/>
              </w:rPr>
              <w:t>4.Періодична плата за доступ до елементів інфраструктури об’єкта будівництва може встановлюватись виключно за наявності обґрунтованих додаткових витрат Власника на утримання елементів інфраструктури об’єкта будівництва, пов’язаних з наданим доступом.</w:t>
            </w:r>
          </w:p>
        </w:tc>
        <w:tc>
          <w:tcPr>
            <w:tcW w:w="3366" w:type="dxa"/>
          </w:tcPr>
          <w:p>
            <w:pPr>
              <w:jc w:val="both"/>
              <w:rPr>
                <w:rFonts w:ascii="Times New Roman" w:hAnsi="Times New Roman" w:cs="Times New Roman"/>
                <w:sz w:val="24"/>
                <w:szCs w:val="24"/>
              </w:rPr>
            </w:pPr>
            <w:r>
              <w:rPr>
                <w:rFonts w:ascii="Times New Roman" w:hAnsi="Times New Roman" w:cs="Times New Roman"/>
                <w:sz w:val="24"/>
                <w:szCs w:val="24"/>
                <w:lang w:val="uk-UA"/>
              </w:rPr>
              <w:t>Згідно із Законом періодична плата – це більше як виключення для встановлення, оскільки може бути передбачена виключно у випадку наявності обґрунтованих додаткових витрат Власника на утримання елементів інфраструктури.</w:t>
            </w:r>
          </w:p>
        </w:tc>
      </w:tr>
    </w:tbl>
    <w:p>
      <w:pPr>
        <w:jc w:val="both"/>
        <w:rPr>
          <w:rFonts w:ascii="Times New Roman" w:hAnsi="Times New Roman" w:cs="Times New Roman"/>
          <w:sz w:val="24"/>
          <w:szCs w:val="24"/>
        </w:rPr>
      </w:pPr>
    </w:p>
    <w:p>
      <w:pPr>
        <w:jc w:val="both"/>
        <w:rPr>
          <w:rFonts w:ascii="Times New Roman" w:hAnsi="Times New Roman" w:cs="Times New Roman"/>
          <w:sz w:val="24"/>
          <w:szCs w:val="24"/>
        </w:rPr>
      </w:pPr>
    </w:p>
    <w:sectPr>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FB5"/>
    <w:multiLevelType w:val="hybridMultilevel"/>
    <w:tmpl w:val="E62E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A5587C"/>
    <w:multiLevelType w:val="hybridMultilevel"/>
    <w:tmpl w:val="6A96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32DD5-22D4-427D-96D5-249F1933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6%D0%B8%D0%B2%D1%96%D0%BB%D1%8C%D0%BD%D0%BE-%D0%BF%D1%80%D0%B0%D0%B2%D0%BE%D0%B2%D1%96_%D1%83%D0%B3%D0%BE%D0%B4%D0%B8" TargetMode="External"/><Relationship Id="rId3" Type="http://schemas.openxmlformats.org/officeDocument/2006/relationships/settings" Target="settings.xml"/><Relationship Id="rId7" Type="http://schemas.openxmlformats.org/officeDocument/2006/relationships/hyperlink" Target="https://uk.wikipedia.org/wiki/%D0%94%D0%BE%D1%85%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1%D0%B0%D0%BD%D0%BA" TargetMode="External"/><Relationship Id="rId11" Type="http://schemas.openxmlformats.org/officeDocument/2006/relationships/theme" Target="theme/theme1.xml"/><Relationship Id="rId5" Type="http://schemas.openxmlformats.org/officeDocument/2006/relationships/hyperlink" Target="https://uk.wikipedia.org/wiki/%D0%9D%D0%B0%D1%86%D1%96%D0%BE%D0%BD%D0%B0%D0%BB%D1%8C%D0%BD%D0%B8%D0%B9_%D0%B1%D0%B0%D0%BD%D0%BA_%D0%A3%D0%BA%D1%80%D0%B0%D1%97%D0%BD%D0%B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E%D0%BF%D0%BE%D0%B4%D0%B0%D1%82%D0%BA%D1%83%D0%B2%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4474</Words>
  <Characters>25507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Новак Анна</dc:creator>
  <cp:keywords/>
  <dc:description/>
  <cp:lastModifiedBy>Коваленко Тетяна</cp:lastModifiedBy>
  <cp:revision>45</cp:revision>
  <dcterms:created xsi:type="dcterms:W3CDTF">2017-09-28T07:59:00Z</dcterms:created>
  <dcterms:modified xsi:type="dcterms:W3CDTF">2017-10-10T08:42:00Z</dcterms:modified>
</cp:coreProperties>
</file>