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A3" w:rsidRDefault="005418A3" w:rsidP="00C311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ПОРІВНЯЛЬНА ТАБЛИЦЯ </w:t>
      </w:r>
    </w:p>
    <w:p w:rsidR="00D1382D" w:rsidRPr="00561972" w:rsidRDefault="00D1382D" w:rsidP="00C311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зауважень щодо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проєкту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постанови Кабінету Міністрів України «Про затвердження Порядку віднесення об’єктів до об’єктів критичної інфраструктури»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1382D" w:rsidRPr="00561972" w:rsidTr="00D1382D">
        <w:tc>
          <w:tcPr>
            <w:tcW w:w="4853" w:type="dxa"/>
          </w:tcPr>
          <w:p w:rsidR="00D1382D" w:rsidRPr="00561972" w:rsidRDefault="00D1382D" w:rsidP="005418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Редакція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акту</w:t>
            </w:r>
          </w:p>
        </w:tc>
        <w:tc>
          <w:tcPr>
            <w:tcW w:w="4853" w:type="dxa"/>
          </w:tcPr>
          <w:p w:rsidR="00D1382D" w:rsidRPr="00561972" w:rsidRDefault="00D1382D" w:rsidP="005418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Редакція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акту із зауваженнями</w:t>
            </w:r>
          </w:p>
        </w:tc>
        <w:tc>
          <w:tcPr>
            <w:tcW w:w="4854" w:type="dxa"/>
          </w:tcPr>
          <w:p w:rsidR="00D1382D" w:rsidRPr="00561972" w:rsidRDefault="00D1382D" w:rsidP="005418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Коментар</w:t>
            </w:r>
          </w:p>
        </w:tc>
      </w:tr>
      <w:tr w:rsidR="00D1382D" w:rsidRPr="00561972" w:rsidTr="00D1382D">
        <w:tc>
          <w:tcPr>
            <w:tcW w:w="4853" w:type="dxa"/>
          </w:tcPr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Порядок віднесення об’єктів до </w:t>
            </w:r>
            <w:r w:rsidR="00C31122"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об’єктів</w:t>
            </w: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критичної інфраструктури</w:t>
            </w:r>
          </w:p>
        </w:tc>
        <w:tc>
          <w:tcPr>
            <w:tcW w:w="4853" w:type="dxa"/>
          </w:tcPr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2D" w:rsidRPr="005B00F9" w:rsidTr="00D1382D">
        <w:tc>
          <w:tcPr>
            <w:tcW w:w="4853" w:type="dxa"/>
          </w:tcPr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 Уповноважені органи складають зведені переліки всіх об’єктів критичної інфраструктури своїх секторів (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підсекторів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критичної інфраструктури, що віднесені до 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категорії критичності, та надають їх до уповноваженого органу з питань захисту критичної інфраструктури для формування Національного переліку об’єктів критичної інфраструктури .</w:t>
            </w:r>
          </w:p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 Уповноважені органи складають зведені переліки всіх об’єктів критичної інфраструктури своїх секторів (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підсекторів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критичної інфраструктури, що віднесені до 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категорії критичності, та надають їх до уповноваженого органу з питань захисту критичної інфраструктури для формування </w:t>
            </w:r>
            <w:r w:rsidRPr="00561972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  <w:t>Національного</w:t>
            </w:r>
            <w:r w:rsidRPr="00561972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 xml:space="preserve"> 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переліку об’єктів критичної інфраструктури .</w:t>
            </w:r>
          </w:p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із Законом України </w:t>
            </w: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засади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кібербезпеки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не передбачено формування такого переліку, як </w:t>
            </w:r>
            <w:r w:rsidRPr="005619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Національний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перелік об’єктів критичної інфраструктури</w:t>
            </w:r>
          </w:p>
          <w:p w:rsidR="00D1382D" w:rsidRPr="00561972" w:rsidRDefault="00B615BC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1972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D1382D" w:rsidRPr="00561972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Стаття 6.</w:t>
            </w:r>
            <w:r w:rsidRPr="00561972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1382D"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Об’єкти критичної інфраструктури</w:t>
            </w:r>
          </w:p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ч2. Критерії та порядок віднесення об’єктів до об’єктів критичної інфраструктури,</w:t>
            </w:r>
            <w:bookmarkStart w:id="0" w:name="w14"/>
            <w:r w:rsidR="00B615BC"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перелік</w:t>
            </w:r>
            <w:bookmarkEnd w:id="0"/>
            <w:r w:rsidR="00B615BC"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таких об’єктів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B615BC"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61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загальні вимоги до їх </w:t>
            </w:r>
            <w:proofErr w:type="spellStart"/>
            <w:r w:rsidRPr="00561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кіберзахисту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у тому числі щодо застосування індикаторів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кіберзагроз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та вимоги до проведення незалежного аудиту інформаційної безпеки затверджуються Кабінетом Міністрів України, а в банківській системі України - Національним банком України.</w:t>
            </w:r>
            <w:r w:rsidR="00B615BC"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382D" w:rsidRPr="00561972" w:rsidTr="00D1382D">
        <w:tc>
          <w:tcPr>
            <w:tcW w:w="4853" w:type="dxa"/>
          </w:tcPr>
          <w:p w:rsidR="00D1382D" w:rsidRPr="00561972" w:rsidRDefault="00B615BC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9.Відомості щодо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обєктів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критичної інфраструктури, що містяться у Національному переліку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обєктів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критичної інфраструктури, є інформацією з обмеженим доступом, захист якої забезпечується відповідно до вимог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законодавтсва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сфері захисту інформації та охорони державної таємниці. </w:t>
            </w:r>
          </w:p>
        </w:tc>
        <w:tc>
          <w:tcPr>
            <w:tcW w:w="4853" w:type="dxa"/>
          </w:tcPr>
          <w:p w:rsidR="00D1382D" w:rsidRPr="00561972" w:rsidRDefault="00B615BC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9.Відомості щодо об’єктів критичної інфраструктури, що містяться у </w:t>
            </w:r>
            <w:r w:rsidRPr="00561972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  <w:t>Національному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переліку об’єктів критичної інфраструктури, є інформацією з обмеженим доступом, захист якої забезпечується відповідно до вимог законодавства у сфері захисту інформації та охорони державної таємниці.</w:t>
            </w:r>
          </w:p>
        </w:tc>
        <w:tc>
          <w:tcPr>
            <w:tcW w:w="4854" w:type="dxa"/>
          </w:tcPr>
          <w:p w:rsidR="00D1382D" w:rsidRPr="00561972" w:rsidRDefault="00B615BC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Аналогічне зауваження із попереднім пунктом </w:t>
            </w:r>
          </w:p>
        </w:tc>
      </w:tr>
      <w:tr w:rsidR="00D1382D" w:rsidRPr="00561972" w:rsidTr="00D1382D">
        <w:tc>
          <w:tcPr>
            <w:tcW w:w="4853" w:type="dxa"/>
          </w:tcPr>
          <w:p w:rsidR="00D1382D" w:rsidRPr="00561972" w:rsidRDefault="00C31122" w:rsidP="00C311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Перелік секторів (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підсекторів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), основних послуг критичної інфраструктури </w:t>
            </w:r>
          </w:p>
        </w:tc>
        <w:tc>
          <w:tcPr>
            <w:tcW w:w="4853" w:type="dxa"/>
          </w:tcPr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31122" w:rsidRPr="00561972" w:rsidTr="00D1382D">
        <w:tc>
          <w:tcPr>
            <w:tcW w:w="4853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із вказаним Переліком до Інформаційного сектору віднесено два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підсектори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4853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1382D" w:rsidRPr="00561972" w:rsidTr="00D1382D">
        <w:tc>
          <w:tcPr>
            <w:tcW w:w="4853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Інформаційні технології (типи основних послуг: зберігання та обробка даних у центрах обробки даних та/або хмарних сховищах. Забезпечення функціонування систем електронного урядування, хмарні обчислення, електронні довірчі послуги, забезпечення функціонування схем електронної ідентифікації) </w:t>
            </w:r>
          </w:p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телекомунікації (тип основних послуг: поширення телевізійного сигналу (у тому числі цифрового) та радіосигналів, забезпечення функціонування точок обміну трафіком (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IXP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), підтримка системи доменних імен (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DNS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в Інтернеті. </w:t>
            </w: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Інформаційні технології (типи основних послуг: зберігання та обробка даних у центрах обробки даних та/або хмарних сховищах. </w:t>
            </w:r>
            <w:r w:rsidRPr="00561972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  <w:t>Забезпечення функціонування систем електронного урядування,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хмарні обчислення, </w:t>
            </w:r>
            <w:r w:rsidRPr="00561972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  <w:t xml:space="preserve">електронні довірчі послуги, забезпечення функціонування схем електронної ідентифікації) </w:t>
            </w: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телекомунікації (тип основних послуг: </w:t>
            </w:r>
            <w:r w:rsidRPr="00561972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uk-UA"/>
              </w:rPr>
              <w:t>поширення телевізійного сигналу (у тому числі цифрового) та радіосигналів,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забезпечення функціонування точок обміну трафіком (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IXP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), підтримка системи доменних імен (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DNS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в Інтернеті. </w:t>
            </w:r>
          </w:p>
          <w:p w:rsidR="00D1382D" w:rsidRPr="00561972" w:rsidRDefault="00D1382D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C31122" w:rsidRPr="00561972" w:rsidRDefault="00C31122" w:rsidP="00C3112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 w:rsidRPr="00561972">
              <w:rPr>
                <w:lang w:val="uk-UA"/>
              </w:rPr>
              <w:t xml:space="preserve">Пунктом 4 Директиви передбачено, що </w:t>
            </w:r>
            <w:r w:rsidRPr="00561972">
              <w:rPr>
                <w:color w:val="000000"/>
              </w:rPr>
              <w:t xml:space="preserve">(4) «оператор </w:t>
            </w:r>
            <w:proofErr w:type="spellStart"/>
            <w:r w:rsidRPr="00561972">
              <w:rPr>
                <w:color w:val="000000"/>
              </w:rPr>
              <w:t>основних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послуг</w:t>
            </w:r>
            <w:proofErr w:type="spellEnd"/>
            <w:r w:rsidRPr="00561972">
              <w:rPr>
                <w:color w:val="000000"/>
              </w:rPr>
              <w:t xml:space="preserve">» </w:t>
            </w:r>
            <w:proofErr w:type="spellStart"/>
            <w:r w:rsidRPr="00561972">
              <w:rPr>
                <w:color w:val="000000"/>
              </w:rPr>
              <w:t>означає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публічну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або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приватну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організацію</w:t>
            </w:r>
            <w:proofErr w:type="spellEnd"/>
            <w:r w:rsidRPr="00561972">
              <w:rPr>
                <w:color w:val="000000"/>
              </w:rPr>
              <w:t xml:space="preserve"> типу, </w:t>
            </w:r>
            <w:proofErr w:type="spellStart"/>
            <w:r w:rsidRPr="00561972">
              <w:rPr>
                <w:color w:val="000000"/>
              </w:rPr>
              <w:t>вказаного</w:t>
            </w:r>
            <w:proofErr w:type="spellEnd"/>
            <w:r w:rsidRPr="00561972">
              <w:rPr>
                <w:color w:val="000000"/>
              </w:rPr>
              <w:t xml:space="preserve"> в </w:t>
            </w:r>
            <w:proofErr w:type="spellStart"/>
            <w:r w:rsidRPr="00561972">
              <w:rPr>
                <w:color w:val="000000"/>
              </w:rPr>
              <w:fldChar w:fldCharType="begin"/>
            </w:r>
            <w:r w:rsidRPr="00561972">
              <w:rPr>
                <w:color w:val="000000"/>
              </w:rPr>
              <w:instrText xml:space="preserve"> HYPERLINK "https://zakon.rada.gov.ua/laws/show/984_013-16" \l "n346" </w:instrText>
            </w:r>
            <w:r w:rsidRPr="00561972">
              <w:rPr>
                <w:color w:val="000000"/>
              </w:rPr>
              <w:fldChar w:fldCharType="separate"/>
            </w:r>
            <w:r w:rsidRPr="00561972">
              <w:rPr>
                <w:rStyle w:val="a3"/>
                <w:color w:val="006600"/>
              </w:rPr>
              <w:t>додатку</w:t>
            </w:r>
            <w:proofErr w:type="spellEnd"/>
            <w:r w:rsidRPr="00561972">
              <w:rPr>
                <w:rStyle w:val="a3"/>
                <w:color w:val="006600"/>
              </w:rPr>
              <w:t xml:space="preserve"> II</w:t>
            </w:r>
            <w:r w:rsidRPr="00561972">
              <w:rPr>
                <w:color w:val="000000"/>
              </w:rPr>
              <w:fldChar w:fldCharType="end"/>
            </w:r>
            <w:r w:rsidRPr="00561972">
              <w:rPr>
                <w:color w:val="000000"/>
              </w:rPr>
              <w:t xml:space="preserve">, </w:t>
            </w:r>
            <w:proofErr w:type="spellStart"/>
            <w:r w:rsidRPr="00561972">
              <w:rPr>
                <w:color w:val="000000"/>
              </w:rPr>
              <w:t>що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відповідає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критеріям</w:t>
            </w:r>
            <w:proofErr w:type="spellEnd"/>
            <w:r w:rsidRPr="00561972">
              <w:rPr>
                <w:color w:val="000000"/>
              </w:rPr>
              <w:t xml:space="preserve">, </w:t>
            </w:r>
            <w:proofErr w:type="spellStart"/>
            <w:r w:rsidRPr="00561972">
              <w:rPr>
                <w:color w:val="000000"/>
              </w:rPr>
              <w:t>встановленим</w:t>
            </w:r>
            <w:proofErr w:type="spellEnd"/>
            <w:r w:rsidRPr="00561972">
              <w:rPr>
                <w:color w:val="000000"/>
              </w:rPr>
              <w:t xml:space="preserve"> у </w:t>
            </w:r>
            <w:proofErr w:type="spellStart"/>
            <w:r w:rsidRPr="00561972">
              <w:rPr>
                <w:color w:val="000000"/>
              </w:rPr>
              <w:fldChar w:fldCharType="begin"/>
            </w:r>
            <w:r w:rsidRPr="00561972">
              <w:rPr>
                <w:color w:val="000000"/>
              </w:rPr>
              <w:instrText xml:space="preserve"> HYPERLINK "https://zakon.rada.gov.ua/laws/show/984_013-16" \l "n133" </w:instrText>
            </w:r>
            <w:r w:rsidRPr="00561972">
              <w:rPr>
                <w:color w:val="000000"/>
              </w:rPr>
              <w:fldChar w:fldCharType="separate"/>
            </w:r>
            <w:r w:rsidRPr="00561972">
              <w:rPr>
                <w:rStyle w:val="a3"/>
                <w:color w:val="006600"/>
              </w:rPr>
              <w:t>статті</w:t>
            </w:r>
            <w:proofErr w:type="spellEnd"/>
            <w:r w:rsidRPr="00561972">
              <w:rPr>
                <w:rStyle w:val="a3"/>
                <w:color w:val="006600"/>
              </w:rPr>
              <w:t xml:space="preserve"> 5(2)</w:t>
            </w:r>
            <w:r w:rsidRPr="00561972">
              <w:rPr>
                <w:color w:val="000000"/>
              </w:rPr>
              <w:fldChar w:fldCharType="end"/>
            </w:r>
            <w:r w:rsidRPr="00561972">
              <w:rPr>
                <w:color w:val="000000"/>
              </w:rPr>
              <w:t>;</w:t>
            </w: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Пунктом (20) Директив</w:t>
            </w:r>
            <w:r w:rsidRPr="00561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Європейського Парламенту і Ради (ЄС) 2016/1148 від 6 липня 2016 року «Про заходи для високого спільного рівня безпеки мережевих та інформаційних систем на території Союзу»  </w:t>
            </w:r>
            <w:r w:rsidRPr="005619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визначено, що</w:t>
            </w:r>
            <w:r w:rsidR="00561972" w:rsidRPr="005619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процесі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операторів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основних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-члени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повинні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оцінити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щонайменше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кожного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підсектора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вказаного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цій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Директиві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вважати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основними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підтримки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критичної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соціально-економічної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суб'єкти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перелічені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секторах та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підсекторах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вказаних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цій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Директиві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надають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відповідають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критеріям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операторів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Здійснюючи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оцінювання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питання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надає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суб’єкт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послугу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є основною для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підтримки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критичної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соціально-економічної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достатньо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перевірити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такий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суб’єкт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надає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послугу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включена </w:t>
            </w:r>
            <w:proofErr w:type="gram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 списку</w:t>
            </w:r>
            <w:proofErr w:type="gram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основних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послуг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Крім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того,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довести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такої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основної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залежить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мережевих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інформаційних</w:t>
            </w:r>
            <w:proofErr w:type="spellEnd"/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систем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Врешті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здійснюючи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оцінювання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питання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інцидент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значний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негативний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вплив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-члени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повинні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враховувати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певні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міжсекторальні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чинники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доречно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секторальні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чинники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1122" w:rsidRPr="00561972" w:rsidRDefault="00C31122" w:rsidP="00DC0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Так, Додатком </w:t>
            </w:r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ІІ</w:t>
            </w:r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 вказаної вище Директиви передбачені  «</w:t>
            </w:r>
            <w:proofErr w:type="spellStart"/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типи</w:t>
            </w:r>
            <w:proofErr w:type="spellEnd"/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суб’єктів</w:t>
            </w:r>
            <w:proofErr w:type="spellEnd"/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цілей</w:t>
            </w:r>
            <w:proofErr w:type="spellEnd"/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4" w:anchor="n115" w:history="1">
              <w:r w:rsidRPr="00561972">
                <w:rPr>
                  <w:rStyle w:val="a3"/>
                  <w:rFonts w:ascii="Times New Roman" w:hAnsi="Times New Roman" w:cs="Times New Roman"/>
                  <w:color w:val="006600"/>
                  <w:sz w:val="24"/>
                  <w:szCs w:val="24"/>
                  <w:shd w:val="clear" w:color="auto" w:fill="FFFFFF"/>
                </w:rPr>
                <w:t>пункту (4)</w:t>
              </w:r>
            </w:hyperlink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  <w:r w:rsidRPr="00561972">
              <w:rPr>
                <w:rStyle w:val="rvts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», а згідно </w:t>
            </w:r>
          </w:p>
          <w:p w:rsidR="00C31122" w:rsidRPr="00561972" w:rsidRDefault="00C31122" w:rsidP="00DC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5318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53183">
              <w:rPr>
                <w:rFonts w:ascii="Times New Roman" w:hAnsi="Times New Roman" w:cs="Times New Roman"/>
                <w:sz w:val="24"/>
                <w:szCs w:val="24"/>
              </w:rPr>
              <w:t>Цифрова</w:t>
            </w:r>
            <w:proofErr w:type="spellEnd"/>
            <w:r w:rsidRPr="0025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83">
              <w:rPr>
                <w:rFonts w:ascii="Times New Roman" w:hAnsi="Times New Roman" w:cs="Times New Roman"/>
                <w:sz w:val="24"/>
                <w:szCs w:val="24"/>
              </w:rPr>
              <w:t>інфраструктура</w:t>
            </w:r>
            <w:proofErr w:type="spellEnd"/>
            <w:r w:rsidRPr="0056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1122" w:rsidRPr="00561972" w:rsidRDefault="00C31122" w:rsidP="00DC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72">
              <w:rPr>
                <w:rFonts w:ascii="Times New Roman" w:hAnsi="Times New Roman" w:cs="Times New Roman"/>
                <w:sz w:val="24"/>
                <w:szCs w:val="24"/>
              </w:rPr>
              <w:t>- IXP</w:t>
            </w:r>
          </w:p>
          <w:p w:rsidR="00C31122" w:rsidRPr="00561972" w:rsidRDefault="00C31122" w:rsidP="00DC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>Надавачі</w:t>
            </w:r>
            <w:proofErr w:type="spellEnd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 xml:space="preserve"> DNS</w:t>
            </w:r>
          </w:p>
          <w:p w:rsidR="00C31122" w:rsidRPr="00561972" w:rsidRDefault="00C31122" w:rsidP="00DC0D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>Реєстри</w:t>
            </w:r>
            <w:proofErr w:type="spellEnd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>імен</w:t>
            </w:r>
            <w:proofErr w:type="spellEnd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 xml:space="preserve"> у доменах </w:t>
            </w:r>
            <w:proofErr w:type="spellStart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>верхнього</w:t>
            </w:r>
            <w:proofErr w:type="spellEnd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6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31122" w:rsidRPr="00561972" w:rsidRDefault="00C31122" w:rsidP="00DC0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22" w:rsidRPr="00561972" w:rsidRDefault="00C31122" w:rsidP="00DC0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56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унктом 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(5) 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56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ирективи визначено, що 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послуга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означає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послугу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розумінні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пункту (b)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1(1)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Директиви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Європейського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Парламенту і Ради (ЄС) 2015/1535 (</w:t>
            </w:r>
            <w:r w:rsidRPr="00561972">
              <w:rPr>
                <w:rStyle w:val="rvts3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-17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одного з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типів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перелічених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 </w:t>
            </w:r>
            <w:proofErr w:type="spellStart"/>
            <w:r w:rsidRPr="005619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6197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"https://zakon.rada.gov.ua/laws/show/984_013-16" \l "n350" </w:instrText>
            </w:r>
            <w:r w:rsidRPr="005619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61972">
              <w:rPr>
                <w:rStyle w:val="a3"/>
                <w:rFonts w:ascii="Times New Roman" w:hAnsi="Times New Roman" w:cs="Times New Roman"/>
                <w:color w:val="006600"/>
                <w:sz w:val="24"/>
                <w:szCs w:val="24"/>
                <w:shd w:val="clear" w:color="auto" w:fill="FFFFFF"/>
              </w:rPr>
              <w:t>додатку</w:t>
            </w:r>
            <w:proofErr w:type="spellEnd"/>
            <w:r w:rsidRPr="00561972">
              <w:rPr>
                <w:rStyle w:val="a3"/>
                <w:rFonts w:ascii="Times New Roman" w:hAnsi="Times New Roman" w:cs="Times New Roman"/>
                <w:color w:val="006600"/>
                <w:sz w:val="24"/>
                <w:szCs w:val="24"/>
                <w:shd w:val="clear" w:color="auto" w:fill="FFFFFF"/>
              </w:rPr>
              <w:t xml:space="preserve"> III</w:t>
            </w:r>
            <w:r w:rsidRPr="005619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31122" w:rsidRPr="00561972" w:rsidRDefault="00C31122" w:rsidP="00DC0DE8">
            <w:pPr>
              <w:pStyle w:val="rvps7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lang w:val="uk-UA"/>
              </w:rPr>
            </w:pPr>
            <w:r w:rsidRPr="00561972">
              <w:rPr>
                <w:rStyle w:val="rvts15"/>
                <w:color w:val="000000"/>
                <w:lang w:val="uk-UA"/>
              </w:rPr>
              <w:t xml:space="preserve">Додаток </w:t>
            </w:r>
            <w:r w:rsidRPr="00561972">
              <w:rPr>
                <w:rStyle w:val="rvts15"/>
                <w:color w:val="000000"/>
              </w:rPr>
              <w:t>ІІІ</w:t>
            </w:r>
            <w:r w:rsidRPr="00561972">
              <w:rPr>
                <w:rStyle w:val="rvts15"/>
                <w:color w:val="000000"/>
                <w:lang w:val="uk-UA"/>
              </w:rPr>
              <w:t xml:space="preserve"> містить </w:t>
            </w:r>
            <w:proofErr w:type="spellStart"/>
            <w:r w:rsidRPr="00561972">
              <w:rPr>
                <w:rStyle w:val="rvts15"/>
                <w:color w:val="000000"/>
              </w:rPr>
              <w:t>типи</w:t>
            </w:r>
            <w:proofErr w:type="spellEnd"/>
            <w:r w:rsidRPr="00561972">
              <w:rPr>
                <w:rStyle w:val="rvts15"/>
                <w:color w:val="000000"/>
              </w:rPr>
              <w:t xml:space="preserve"> </w:t>
            </w:r>
            <w:proofErr w:type="spellStart"/>
            <w:r w:rsidRPr="00561972">
              <w:rPr>
                <w:rStyle w:val="rvts15"/>
                <w:color w:val="000000"/>
              </w:rPr>
              <w:t>цифрових</w:t>
            </w:r>
            <w:proofErr w:type="spellEnd"/>
            <w:r w:rsidRPr="00561972">
              <w:rPr>
                <w:rStyle w:val="rvts15"/>
                <w:color w:val="000000"/>
              </w:rPr>
              <w:t xml:space="preserve"> </w:t>
            </w:r>
            <w:proofErr w:type="spellStart"/>
            <w:r w:rsidRPr="00561972">
              <w:rPr>
                <w:rStyle w:val="rvts15"/>
                <w:color w:val="000000"/>
              </w:rPr>
              <w:t>послуг</w:t>
            </w:r>
            <w:proofErr w:type="spellEnd"/>
            <w:r w:rsidRPr="00561972">
              <w:rPr>
                <w:rStyle w:val="rvts15"/>
                <w:color w:val="000000"/>
              </w:rPr>
              <w:t xml:space="preserve"> для </w:t>
            </w:r>
            <w:proofErr w:type="spellStart"/>
            <w:r w:rsidRPr="00561972">
              <w:rPr>
                <w:rStyle w:val="rvts15"/>
                <w:color w:val="000000"/>
              </w:rPr>
              <w:t>цілей</w:t>
            </w:r>
            <w:proofErr w:type="spellEnd"/>
            <w:r w:rsidRPr="00561972">
              <w:rPr>
                <w:rStyle w:val="rvts15"/>
                <w:color w:val="000000"/>
              </w:rPr>
              <w:t> </w:t>
            </w:r>
            <w:hyperlink r:id="rId5" w:anchor="n116" w:history="1">
              <w:r w:rsidRPr="00561972">
                <w:rPr>
                  <w:rStyle w:val="a3"/>
                  <w:color w:val="006600"/>
                </w:rPr>
                <w:t>пункту (5)</w:t>
              </w:r>
            </w:hyperlink>
            <w:r w:rsidRPr="00561972">
              <w:rPr>
                <w:rStyle w:val="rvts15"/>
                <w:color w:val="000000"/>
              </w:rPr>
              <w:t> </w:t>
            </w:r>
            <w:proofErr w:type="spellStart"/>
            <w:r w:rsidRPr="00561972">
              <w:rPr>
                <w:rStyle w:val="rvts15"/>
                <w:color w:val="000000"/>
              </w:rPr>
              <w:t>статті</w:t>
            </w:r>
            <w:proofErr w:type="spellEnd"/>
            <w:r w:rsidRPr="00561972">
              <w:rPr>
                <w:rStyle w:val="rvts15"/>
                <w:color w:val="000000"/>
              </w:rPr>
              <w:t xml:space="preserve"> 4</w:t>
            </w:r>
            <w:r w:rsidRPr="00561972">
              <w:rPr>
                <w:rStyle w:val="rvts15"/>
                <w:color w:val="000000"/>
                <w:lang w:val="uk-UA"/>
              </w:rPr>
              <w:t>, а саме:</w:t>
            </w:r>
          </w:p>
          <w:p w:rsidR="00C31122" w:rsidRPr="00561972" w:rsidRDefault="00C31122" w:rsidP="00DC0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561972">
              <w:rPr>
                <w:color w:val="000000"/>
              </w:rPr>
              <w:t xml:space="preserve">1. </w:t>
            </w:r>
            <w:proofErr w:type="spellStart"/>
            <w:r w:rsidRPr="00561972">
              <w:rPr>
                <w:color w:val="000000"/>
              </w:rPr>
              <w:t>Електронний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торговий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майданчик</w:t>
            </w:r>
            <w:proofErr w:type="spellEnd"/>
            <w:r w:rsidRPr="00561972">
              <w:rPr>
                <w:color w:val="000000"/>
              </w:rPr>
              <w:t>.</w:t>
            </w:r>
          </w:p>
          <w:p w:rsidR="00C31122" w:rsidRPr="00561972" w:rsidRDefault="00C31122" w:rsidP="00DC0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561972">
              <w:rPr>
                <w:color w:val="000000"/>
              </w:rPr>
              <w:t xml:space="preserve">2. </w:t>
            </w:r>
            <w:proofErr w:type="spellStart"/>
            <w:r w:rsidRPr="00561972">
              <w:rPr>
                <w:color w:val="000000"/>
              </w:rPr>
              <w:t>Електронна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пошукова</w:t>
            </w:r>
            <w:proofErr w:type="spellEnd"/>
            <w:r w:rsidRPr="00561972">
              <w:rPr>
                <w:color w:val="000000"/>
              </w:rPr>
              <w:t xml:space="preserve"> система.</w:t>
            </w:r>
          </w:p>
          <w:p w:rsidR="00C31122" w:rsidRPr="00561972" w:rsidRDefault="00C31122" w:rsidP="00DC0DE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561972">
              <w:rPr>
                <w:color w:val="000000"/>
              </w:rPr>
              <w:t xml:space="preserve">3. </w:t>
            </w:r>
            <w:proofErr w:type="spellStart"/>
            <w:r w:rsidRPr="00561972">
              <w:rPr>
                <w:color w:val="000000"/>
              </w:rPr>
              <w:t>Послуга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хмарних</w:t>
            </w:r>
            <w:proofErr w:type="spellEnd"/>
            <w:r w:rsidRPr="00561972">
              <w:rPr>
                <w:color w:val="000000"/>
              </w:rPr>
              <w:t xml:space="preserve"> </w:t>
            </w:r>
            <w:proofErr w:type="spellStart"/>
            <w:r w:rsidRPr="00561972">
              <w:rPr>
                <w:color w:val="000000"/>
              </w:rPr>
              <w:t>обчислень</w:t>
            </w:r>
            <w:proofErr w:type="spellEnd"/>
            <w:r w:rsidRPr="00561972">
              <w:rPr>
                <w:color w:val="000000"/>
              </w:rPr>
              <w:t>.</w:t>
            </w: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122" w:rsidRPr="00561972" w:rsidTr="00D1382D">
        <w:tc>
          <w:tcPr>
            <w:tcW w:w="4853" w:type="dxa"/>
          </w:tcPr>
          <w:p w:rsidR="00C31122" w:rsidRPr="005B00F9" w:rsidRDefault="00C31122" w:rsidP="005B00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1" w:name="_GoBack"/>
            <w:r w:rsidRPr="005B0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Методика категоризації об’єктів </w:t>
            </w:r>
            <w:r w:rsidR="005B0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5B0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ритичної інфраструктури</w:t>
            </w:r>
          </w:p>
          <w:bookmarkEnd w:id="1"/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C31122" w:rsidRPr="00561972" w:rsidRDefault="00C31122" w:rsidP="00C3112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</w:p>
        </w:tc>
      </w:tr>
      <w:tr w:rsidR="00C31122" w:rsidRPr="00561972" w:rsidTr="00D1382D">
        <w:tc>
          <w:tcPr>
            <w:tcW w:w="4853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4.3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Уповноважени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 разом з оператором </w:t>
            </w: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критичної інфраструктури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проводить оцінку критичності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обєкта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критичної інфраструктури з використанням секторальних та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міжсекторальних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критерііїв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визначення рівня негативного впливу, наведених у додатках 1 та 2 до цієї Методики, та з урахуванням : …</w:t>
            </w: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4.3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Уповноважени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 разом з оператором </w:t>
            </w:r>
            <w:r w:rsidRPr="00561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56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сновних послуг</w:t>
            </w: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проводить оцінку критичності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обєкта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критичної інфраструктури з використанням секторальних та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міжсекторальних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критерііїв</w:t>
            </w:r>
            <w:proofErr w:type="spellEnd"/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визначення рівня негативного впливу, наведених у додатках 1 та 2 до цієї Методики, та з урахуванням : …</w:t>
            </w:r>
          </w:p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C31122" w:rsidRPr="00561972" w:rsidRDefault="00C31122" w:rsidP="00C31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</w:t>
            </w:r>
            <w:r w:rsidRPr="00561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дакційна правка</w:t>
            </w:r>
          </w:p>
          <w:p w:rsidR="00C31122" w:rsidRPr="00561972" w:rsidRDefault="00C31122" w:rsidP="00C3112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</w:p>
        </w:tc>
      </w:tr>
    </w:tbl>
    <w:p w:rsidR="00D1382D" w:rsidRPr="00561972" w:rsidRDefault="00D1382D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7490" w:rsidRDefault="00BE7490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1972" w:rsidRDefault="0056197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1972" w:rsidRDefault="0056197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1972" w:rsidRDefault="0056197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1972" w:rsidRDefault="0056197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1972" w:rsidRPr="00561972" w:rsidRDefault="0056197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1122" w:rsidRPr="00561972" w:rsidRDefault="00C3112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1122" w:rsidRPr="00561972" w:rsidRDefault="00C3112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1122" w:rsidRPr="00561972" w:rsidRDefault="00C3112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1122" w:rsidRPr="00561972" w:rsidRDefault="00C3112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1122" w:rsidRPr="00561972" w:rsidRDefault="00C3112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1122" w:rsidRPr="00561972" w:rsidRDefault="00C3112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627B2" w:rsidRPr="00561972" w:rsidRDefault="00A83A12" w:rsidP="005619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Проєкт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Постанови розроблено з урахуванням вимог та Директиви Ради 2008/114/ЄС від 8.12.2008 «Про ідентифікацію і визначення європейських критичних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інфраструктур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оцінювання необхідності покращення їх охорони та захисту» та Директиви Європейського Парламенту та Ради (ЄС) 2016/1148 від 06.07.2019 «Про заходи високого спільного рівня безпеки мережевих та інформаційних систем на території Союзу» (далі – Директива ЄС 2016/1148). </w:t>
      </w:r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Треба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зазначити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термінологія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яка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використовується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проєкті</w:t>
      </w:r>
      <w:proofErr w:type="spellEnd"/>
      <w:proofErr w:type="gram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Постанови, максимально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наближена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термінології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зазначених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документів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ЄС.</w:t>
      </w:r>
    </w:p>
    <w:p w:rsidR="008D4DDD" w:rsidRPr="00561972" w:rsidRDefault="008D4DDD" w:rsidP="005619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1972">
        <w:rPr>
          <w:color w:val="000000"/>
        </w:rPr>
        <w:t xml:space="preserve">(17) </w:t>
      </w:r>
      <w:proofErr w:type="spellStart"/>
      <w:r w:rsidRPr="00561972">
        <w:rPr>
          <w:color w:val="000000"/>
        </w:rPr>
        <w:t>Послуги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хмарних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обчислень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включають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широке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розмаїття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видів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діяльності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що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можуть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надаватись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відповідно</w:t>
      </w:r>
      <w:proofErr w:type="spellEnd"/>
      <w:r w:rsidRPr="00561972">
        <w:rPr>
          <w:color w:val="000000"/>
        </w:rPr>
        <w:t xml:space="preserve"> до </w:t>
      </w:r>
      <w:proofErr w:type="spellStart"/>
      <w:r w:rsidRPr="00561972">
        <w:rPr>
          <w:color w:val="000000"/>
        </w:rPr>
        <w:t>різних</w:t>
      </w:r>
      <w:proofErr w:type="spellEnd"/>
      <w:r w:rsidRPr="00561972">
        <w:rPr>
          <w:color w:val="000000"/>
        </w:rPr>
        <w:t xml:space="preserve"> моделей. Для </w:t>
      </w:r>
      <w:proofErr w:type="spellStart"/>
      <w:r w:rsidRPr="00561972">
        <w:rPr>
          <w:color w:val="000000"/>
        </w:rPr>
        <w:t>цілей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цієї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Директиви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термін</w:t>
      </w:r>
      <w:proofErr w:type="spellEnd"/>
      <w:r w:rsidRPr="00561972">
        <w:rPr>
          <w:color w:val="000000"/>
        </w:rPr>
        <w:t xml:space="preserve"> «</w:t>
      </w:r>
      <w:proofErr w:type="spellStart"/>
      <w:r w:rsidRPr="00561972">
        <w:rPr>
          <w:color w:val="000000"/>
        </w:rPr>
        <w:t>послуги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хмарних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обчислень</w:t>
      </w:r>
      <w:proofErr w:type="spellEnd"/>
      <w:r w:rsidRPr="00561972">
        <w:rPr>
          <w:color w:val="000000"/>
        </w:rPr>
        <w:t xml:space="preserve">» </w:t>
      </w:r>
      <w:proofErr w:type="spellStart"/>
      <w:r w:rsidRPr="00561972">
        <w:rPr>
          <w:color w:val="000000"/>
        </w:rPr>
        <w:t>охоплює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послуги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що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дозволяють</w:t>
      </w:r>
      <w:proofErr w:type="spellEnd"/>
      <w:r w:rsidRPr="00561972">
        <w:rPr>
          <w:color w:val="000000"/>
        </w:rPr>
        <w:t xml:space="preserve"> доступ до </w:t>
      </w:r>
      <w:proofErr w:type="spellStart"/>
      <w:r w:rsidRPr="00561972">
        <w:rPr>
          <w:color w:val="000000"/>
        </w:rPr>
        <w:t>масштабовного</w:t>
      </w:r>
      <w:proofErr w:type="spellEnd"/>
      <w:r w:rsidRPr="00561972">
        <w:rPr>
          <w:color w:val="000000"/>
        </w:rPr>
        <w:t xml:space="preserve"> та </w:t>
      </w:r>
      <w:proofErr w:type="spellStart"/>
      <w:r w:rsidRPr="00561972">
        <w:rPr>
          <w:color w:val="000000"/>
        </w:rPr>
        <w:t>еластичного</w:t>
      </w:r>
      <w:proofErr w:type="spellEnd"/>
      <w:r w:rsidRPr="00561972">
        <w:rPr>
          <w:color w:val="000000"/>
        </w:rPr>
        <w:t xml:space="preserve"> пулу </w:t>
      </w:r>
      <w:proofErr w:type="spellStart"/>
      <w:r w:rsidRPr="00561972">
        <w:rPr>
          <w:color w:val="000000"/>
        </w:rPr>
        <w:t>обчислювальних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ресурсів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спільного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користування</w:t>
      </w:r>
      <w:proofErr w:type="spellEnd"/>
      <w:r w:rsidRPr="00561972">
        <w:rPr>
          <w:color w:val="000000"/>
        </w:rPr>
        <w:t xml:space="preserve">. </w:t>
      </w:r>
      <w:proofErr w:type="spellStart"/>
      <w:r w:rsidRPr="00561972">
        <w:rPr>
          <w:color w:val="000000"/>
        </w:rPr>
        <w:t>Такі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обчислювальні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ресурси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включають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такі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ресурси</w:t>
      </w:r>
      <w:proofErr w:type="spellEnd"/>
      <w:r w:rsidRPr="00561972">
        <w:rPr>
          <w:color w:val="000000"/>
        </w:rPr>
        <w:t xml:space="preserve"> як </w:t>
      </w:r>
      <w:proofErr w:type="spellStart"/>
      <w:r w:rsidRPr="00561972">
        <w:rPr>
          <w:color w:val="000000"/>
        </w:rPr>
        <w:t>мережі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сервери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або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іншу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інфраструктуру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сховища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програми</w:t>
      </w:r>
      <w:proofErr w:type="spellEnd"/>
      <w:r w:rsidRPr="00561972">
        <w:rPr>
          <w:color w:val="000000"/>
        </w:rPr>
        <w:t xml:space="preserve"> та </w:t>
      </w:r>
      <w:proofErr w:type="spellStart"/>
      <w:r w:rsidRPr="00561972">
        <w:rPr>
          <w:color w:val="000000"/>
        </w:rPr>
        <w:t>послуги</w:t>
      </w:r>
      <w:proofErr w:type="spellEnd"/>
      <w:r w:rsidRPr="00561972">
        <w:rPr>
          <w:color w:val="000000"/>
        </w:rPr>
        <w:t xml:space="preserve">. </w:t>
      </w:r>
      <w:proofErr w:type="spellStart"/>
      <w:r w:rsidRPr="00561972">
        <w:rPr>
          <w:color w:val="000000"/>
        </w:rPr>
        <w:t>Термін</w:t>
      </w:r>
      <w:proofErr w:type="spellEnd"/>
      <w:r w:rsidRPr="00561972">
        <w:rPr>
          <w:color w:val="000000"/>
        </w:rPr>
        <w:t xml:space="preserve"> «</w:t>
      </w:r>
      <w:proofErr w:type="spellStart"/>
      <w:r w:rsidRPr="00561972">
        <w:rPr>
          <w:color w:val="000000"/>
        </w:rPr>
        <w:t>масштабовний</w:t>
      </w:r>
      <w:proofErr w:type="spellEnd"/>
      <w:r w:rsidRPr="00561972">
        <w:rPr>
          <w:color w:val="000000"/>
        </w:rPr>
        <w:t xml:space="preserve">» </w:t>
      </w:r>
      <w:proofErr w:type="spellStart"/>
      <w:r w:rsidRPr="00561972">
        <w:rPr>
          <w:color w:val="000000"/>
        </w:rPr>
        <w:t>означає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що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надавач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хмарної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послуги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гнучко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розподілив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обчислювальні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ресурси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незалежно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від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географічного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розташування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ресурсів</w:t>
      </w:r>
      <w:proofErr w:type="spellEnd"/>
      <w:r w:rsidRPr="00561972">
        <w:rPr>
          <w:color w:val="000000"/>
        </w:rPr>
        <w:t xml:space="preserve"> для того, </w:t>
      </w:r>
      <w:proofErr w:type="spellStart"/>
      <w:r w:rsidRPr="00561972">
        <w:rPr>
          <w:color w:val="000000"/>
        </w:rPr>
        <w:t>щоб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справлятися</w:t>
      </w:r>
      <w:proofErr w:type="spellEnd"/>
      <w:r w:rsidRPr="00561972">
        <w:rPr>
          <w:color w:val="000000"/>
        </w:rPr>
        <w:t xml:space="preserve"> з </w:t>
      </w:r>
      <w:proofErr w:type="spellStart"/>
      <w:r w:rsidRPr="00561972">
        <w:rPr>
          <w:color w:val="000000"/>
        </w:rPr>
        <w:t>коливаннями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попиту</w:t>
      </w:r>
      <w:proofErr w:type="spellEnd"/>
      <w:r w:rsidRPr="00561972">
        <w:rPr>
          <w:color w:val="000000"/>
        </w:rPr>
        <w:t xml:space="preserve">. </w:t>
      </w:r>
      <w:proofErr w:type="spellStart"/>
      <w:r w:rsidRPr="00561972">
        <w:rPr>
          <w:color w:val="000000"/>
        </w:rPr>
        <w:t>Термін</w:t>
      </w:r>
      <w:proofErr w:type="spellEnd"/>
      <w:r w:rsidRPr="00561972">
        <w:rPr>
          <w:color w:val="000000"/>
        </w:rPr>
        <w:t xml:space="preserve"> «</w:t>
      </w:r>
      <w:proofErr w:type="spellStart"/>
      <w:r w:rsidRPr="00561972">
        <w:rPr>
          <w:color w:val="000000"/>
        </w:rPr>
        <w:t>еластичний</w:t>
      </w:r>
      <w:proofErr w:type="spellEnd"/>
      <w:r w:rsidRPr="00561972">
        <w:rPr>
          <w:color w:val="000000"/>
        </w:rPr>
        <w:t xml:space="preserve"> пул» </w:t>
      </w:r>
      <w:proofErr w:type="spellStart"/>
      <w:r w:rsidRPr="00561972">
        <w:rPr>
          <w:color w:val="000000"/>
        </w:rPr>
        <w:t>використовується</w:t>
      </w:r>
      <w:proofErr w:type="spellEnd"/>
      <w:r w:rsidRPr="00561972">
        <w:rPr>
          <w:color w:val="000000"/>
        </w:rPr>
        <w:t xml:space="preserve"> для </w:t>
      </w:r>
      <w:proofErr w:type="spellStart"/>
      <w:r w:rsidRPr="00561972">
        <w:rPr>
          <w:color w:val="000000"/>
        </w:rPr>
        <w:t>опису</w:t>
      </w:r>
      <w:proofErr w:type="spellEnd"/>
      <w:r w:rsidRPr="00561972">
        <w:rPr>
          <w:color w:val="000000"/>
        </w:rPr>
        <w:t xml:space="preserve"> таких </w:t>
      </w:r>
      <w:proofErr w:type="spellStart"/>
      <w:r w:rsidRPr="00561972">
        <w:rPr>
          <w:color w:val="000000"/>
        </w:rPr>
        <w:t>обчислювальних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ресурсів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які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вводять</w:t>
      </w:r>
      <w:proofErr w:type="spellEnd"/>
      <w:r w:rsidRPr="00561972">
        <w:rPr>
          <w:color w:val="000000"/>
        </w:rPr>
        <w:t xml:space="preserve"> в </w:t>
      </w:r>
      <w:proofErr w:type="spellStart"/>
      <w:r w:rsidRPr="00561972">
        <w:rPr>
          <w:color w:val="000000"/>
        </w:rPr>
        <w:t>дію</w:t>
      </w:r>
      <w:proofErr w:type="spellEnd"/>
      <w:r w:rsidRPr="00561972">
        <w:rPr>
          <w:color w:val="000000"/>
        </w:rPr>
        <w:t xml:space="preserve"> та </w:t>
      </w:r>
      <w:proofErr w:type="spellStart"/>
      <w:r w:rsidRPr="00561972">
        <w:rPr>
          <w:color w:val="000000"/>
        </w:rPr>
        <w:t>дозволяють</w:t>
      </w:r>
      <w:proofErr w:type="spellEnd"/>
      <w:r w:rsidRPr="00561972">
        <w:rPr>
          <w:color w:val="000000"/>
        </w:rPr>
        <w:t xml:space="preserve"> до </w:t>
      </w:r>
      <w:proofErr w:type="spellStart"/>
      <w:r w:rsidRPr="00561972">
        <w:rPr>
          <w:color w:val="000000"/>
        </w:rPr>
        <w:t>використання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відповідно</w:t>
      </w:r>
      <w:proofErr w:type="spellEnd"/>
      <w:r w:rsidRPr="00561972">
        <w:rPr>
          <w:color w:val="000000"/>
        </w:rPr>
        <w:t xml:space="preserve"> до </w:t>
      </w:r>
      <w:proofErr w:type="spellStart"/>
      <w:r w:rsidRPr="00561972">
        <w:rPr>
          <w:color w:val="000000"/>
        </w:rPr>
        <w:t>попиту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щоби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швидко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збільшувати</w:t>
      </w:r>
      <w:proofErr w:type="spellEnd"/>
      <w:r w:rsidRPr="00561972">
        <w:rPr>
          <w:color w:val="000000"/>
        </w:rPr>
        <w:t xml:space="preserve"> та </w:t>
      </w:r>
      <w:proofErr w:type="spellStart"/>
      <w:r w:rsidRPr="00561972">
        <w:rPr>
          <w:color w:val="000000"/>
        </w:rPr>
        <w:t>зменшувати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доступні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ресурси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залежно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від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навантаження</w:t>
      </w:r>
      <w:proofErr w:type="spellEnd"/>
      <w:r w:rsidRPr="00561972">
        <w:rPr>
          <w:color w:val="000000"/>
        </w:rPr>
        <w:t xml:space="preserve">. </w:t>
      </w:r>
      <w:proofErr w:type="spellStart"/>
      <w:r w:rsidRPr="00561972">
        <w:rPr>
          <w:color w:val="000000"/>
        </w:rPr>
        <w:t>Термін</w:t>
      </w:r>
      <w:proofErr w:type="spellEnd"/>
      <w:r w:rsidRPr="00561972">
        <w:rPr>
          <w:color w:val="000000"/>
        </w:rPr>
        <w:t xml:space="preserve"> «</w:t>
      </w:r>
      <w:proofErr w:type="spellStart"/>
      <w:r w:rsidRPr="00561972">
        <w:rPr>
          <w:color w:val="000000"/>
        </w:rPr>
        <w:t>спільного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користування</w:t>
      </w:r>
      <w:proofErr w:type="spellEnd"/>
      <w:r w:rsidRPr="00561972">
        <w:rPr>
          <w:color w:val="000000"/>
        </w:rPr>
        <w:t xml:space="preserve">» </w:t>
      </w:r>
      <w:proofErr w:type="spellStart"/>
      <w:r w:rsidRPr="00561972">
        <w:rPr>
          <w:color w:val="000000"/>
        </w:rPr>
        <w:t>використовується</w:t>
      </w:r>
      <w:proofErr w:type="spellEnd"/>
      <w:r w:rsidRPr="00561972">
        <w:rPr>
          <w:color w:val="000000"/>
        </w:rPr>
        <w:t xml:space="preserve"> для </w:t>
      </w:r>
      <w:proofErr w:type="spellStart"/>
      <w:r w:rsidRPr="00561972">
        <w:rPr>
          <w:color w:val="000000"/>
        </w:rPr>
        <w:t>опису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обчислювальних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ресурсів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котрі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надаються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багатьом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користувачам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зі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спільним</w:t>
      </w:r>
      <w:proofErr w:type="spellEnd"/>
      <w:r w:rsidRPr="00561972">
        <w:rPr>
          <w:color w:val="000000"/>
        </w:rPr>
        <w:t xml:space="preserve"> доступом до </w:t>
      </w:r>
      <w:proofErr w:type="spellStart"/>
      <w:r w:rsidRPr="00561972">
        <w:rPr>
          <w:color w:val="000000"/>
        </w:rPr>
        <w:t>послуги</w:t>
      </w:r>
      <w:proofErr w:type="spellEnd"/>
      <w:r w:rsidRPr="00561972">
        <w:rPr>
          <w:color w:val="000000"/>
        </w:rPr>
        <w:t xml:space="preserve">, але </w:t>
      </w:r>
      <w:proofErr w:type="spellStart"/>
      <w:r w:rsidRPr="00561972">
        <w:rPr>
          <w:color w:val="000000"/>
        </w:rPr>
        <w:t>опрацювання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здійснюється</w:t>
      </w:r>
      <w:proofErr w:type="spellEnd"/>
      <w:r w:rsidRPr="00561972">
        <w:rPr>
          <w:color w:val="000000"/>
        </w:rPr>
        <w:t xml:space="preserve"> для кожного </w:t>
      </w:r>
      <w:proofErr w:type="spellStart"/>
      <w:r w:rsidRPr="00561972">
        <w:rPr>
          <w:color w:val="000000"/>
        </w:rPr>
        <w:t>користувача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окремо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хоча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послуга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надається</w:t>
      </w:r>
      <w:proofErr w:type="spellEnd"/>
      <w:r w:rsidRPr="00561972">
        <w:rPr>
          <w:color w:val="000000"/>
        </w:rPr>
        <w:t xml:space="preserve"> з одного й того ж </w:t>
      </w:r>
      <w:proofErr w:type="spellStart"/>
      <w:r w:rsidRPr="00561972">
        <w:rPr>
          <w:color w:val="000000"/>
        </w:rPr>
        <w:t>електронного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обладнання</w:t>
      </w:r>
      <w:proofErr w:type="spellEnd"/>
      <w:r w:rsidRPr="00561972">
        <w:rPr>
          <w:color w:val="000000"/>
        </w:rPr>
        <w:t>.</w:t>
      </w:r>
    </w:p>
    <w:p w:rsidR="008D4DDD" w:rsidRPr="00561972" w:rsidRDefault="008D4DDD" w:rsidP="0056197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n29"/>
      <w:bookmarkEnd w:id="2"/>
      <w:r w:rsidRPr="00561972">
        <w:rPr>
          <w:color w:val="000000"/>
        </w:rPr>
        <w:t xml:space="preserve">(18) </w:t>
      </w:r>
      <w:proofErr w:type="spellStart"/>
      <w:r w:rsidRPr="00561972">
        <w:rPr>
          <w:color w:val="000000"/>
        </w:rPr>
        <w:t>Функція</w:t>
      </w:r>
      <w:proofErr w:type="spellEnd"/>
      <w:r w:rsidRPr="00561972">
        <w:rPr>
          <w:color w:val="000000"/>
        </w:rPr>
        <w:t xml:space="preserve"> точки </w:t>
      </w:r>
      <w:proofErr w:type="spellStart"/>
      <w:r w:rsidRPr="00561972">
        <w:rPr>
          <w:color w:val="000000"/>
        </w:rPr>
        <w:t>обміну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інтернет-трафіком</w:t>
      </w:r>
      <w:proofErr w:type="spellEnd"/>
      <w:r w:rsidRPr="00561972">
        <w:rPr>
          <w:color w:val="000000"/>
        </w:rPr>
        <w:t xml:space="preserve"> (IXP) </w:t>
      </w:r>
      <w:proofErr w:type="spellStart"/>
      <w:r w:rsidRPr="00561972">
        <w:rPr>
          <w:color w:val="000000"/>
        </w:rPr>
        <w:t>полягає</w:t>
      </w:r>
      <w:proofErr w:type="spellEnd"/>
      <w:r w:rsidRPr="00561972">
        <w:rPr>
          <w:color w:val="000000"/>
        </w:rPr>
        <w:t xml:space="preserve"> у </w:t>
      </w:r>
      <w:proofErr w:type="spellStart"/>
      <w:r w:rsidRPr="00561972">
        <w:rPr>
          <w:color w:val="000000"/>
        </w:rPr>
        <w:t>взаємоз’єднанні</w:t>
      </w:r>
      <w:proofErr w:type="spellEnd"/>
      <w:r w:rsidRPr="00561972">
        <w:rPr>
          <w:color w:val="000000"/>
        </w:rPr>
        <w:t xml:space="preserve"> мереж. IXP не </w:t>
      </w:r>
      <w:proofErr w:type="spellStart"/>
      <w:r w:rsidRPr="00561972">
        <w:rPr>
          <w:color w:val="000000"/>
        </w:rPr>
        <w:t>надає</w:t>
      </w:r>
      <w:proofErr w:type="spellEnd"/>
      <w:r w:rsidRPr="00561972">
        <w:rPr>
          <w:color w:val="000000"/>
        </w:rPr>
        <w:t xml:space="preserve"> доступу до </w:t>
      </w:r>
      <w:proofErr w:type="spellStart"/>
      <w:r w:rsidRPr="00561972">
        <w:rPr>
          <w:color w:val="000000"/>
        </w:rPr>
        <w:t>мережі</w:t>
      </w:r>
      <w:proofErr w:type="spellEnd"/>
      <w:r w:rsidRPr="00561972">
        <w:rPr>
          <w:color w:val="000000"/>
        </w:rPr>
        <w:t xml:space="preserve"> та не </w:t>
      </w:r>
      <w:proofErr w:type="spellStart"/>
      <w:r w:rsidRPr="00561972">
        <w:rPr>
          <w:color w:val="000000"/>
        </w:rPr>
        <w:t>діє</w:t>
      </w:r>
      <w:proofErr w:type="spellEnd"/>
      <w:r w:rsidRPr="00561972">
        <w:rPr>
          <w:color w:val="000000"/>
        </w:rPr>
        <w:t xml:space="preserve"> як </w:t>
      </w:r>
      <w:proofErr w:type="spellStart"/>
      <w:r w:rsidRPr="00561972">
        <w:rPr>
          <w:color w:val="000000"/>
        </w:rPr>
        <w:t>транзитний</w:t>
      </w:r>
      <w:proofErr w:type="spellEnd"/>
      <w:r w:rsidRPr="00561972">
        <w:rPr>
          <w:color w:val="000000"/>
        </w:rPr>
        <w:t xml:space="preserve"> провайдер </w:t>
      </w:r>
      <w:proofErr w:type="spellStart"/>
      <w:r w:rsidRPr="00561972">
        <w:rPr>
          <w:color w:val="000000"/>
        </w:rPr>
        <w:t>або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передавач</w:t>
      </w:r>
      <w:proofErr w:type="spellEnd"/>
      <w:r w:rsidRPr="00561972">
        <w:rPr>
          <w:color w:val="000000"/>
        </w:rPr>
        <w:t xml:space="preserve">. </w:t>
      </w:r>
      <w:proofErr w:type="spellStart"/>
      <w:r w:rsidRPr="00561972">
        <w:rPr>
          <w:color w:val="000000"/>
        </w:rPr>
        <w:t>Також</w:t>
      </w:r>
      <w:proofErr w:type="spellEnd"/>
      <w:r w:rsidRPr="00561972">
        <w:rPr>
          <w:color w:val="000000"/>
        </w:rPr>
        <w:t xml:space="preserve"> IXP не </w:t>
      </w:r>
      <w:proofErr w:type="spellStart"/>
      <w:r w:rsidRPr="00561972">
        <w:rPr>
          <w:color w:val="000000"/>
        </w:rPr>
        <w:t>надає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інших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послуг</w:t>
      </w:r>
      <w:proofErr w:type="spellEnd"/>
      <w:r w:rsidRPr="00561972">
        <w:rPr>
          <w:color w:val="000000"/>
        </w:rPr>
        <w:t xml:space="preserve">, не </w:t>
      </w:r>
      <w:proofErr w:type="spellStart"/>
      <w:r w:rsidRPr="00561972">
        <w:rPr>
          <w:color w:val="000000"/>
        </w:rPr>
        <w:t>пов’язаних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із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взаємоз’єднанням</w:t>
      </w:r>
      <w:proofErr w:type="spellEnd"/>
      <w:r w:rsidRPr="00561972">
        <w:rPr>
          <w:color w:val="000000"/>
        </w:rPr>
        <w:t xml:space="preserve">, </w:t>
      </w:r>
      <w:proofErr w:type="spellStart"/>
      <w:r w:rsidRPr="00561972">
        <w:rPr>
          <w:color w:val="000000"/>
        </w:rPr>
        <w:t>хоча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це</w:t>
      </w:r>
      <w:proofErr w:type="spellEnd"/>
      <w:r w:rsidRPr="00561972">
        <w:rPr>
          <w:color w:val="000000"/>
        </w:rPr>
        <w:t xml:space="preserve"> не </w:t>
      </w:r>
      <w:proofErr w:type="spellStart"/>
      <w:r w:rsidRPr="00561972">
        <w:rPr>
          <w:color w:val="000000"/>
        </w:rPr>
        <w:t>стає</w:t>
      </w:r>
      <w:proofErr w:type="spellEnd"/>
      <w:r w:rsidRPr="00561972">
        <w:rPr>
          <w:color w:val="000000"/>
        </w:rPr>
        <w:t xml:space="preserve"> на </w:t>
      </w:r>
      <w:proofErr w:type="spellStart"/>
      <w:r w:rsidRPr="00561972">
        <w:rPr>
          <w:color w:val="000000"/>
        </w:rPr>
        <w:t>заваді</w:t>
      </w:r>
      <w:proofErr w:type="spellEnd"/>
      <w:r w:rsidRPr="00561972">
        <w:rPr>
          <w:color w:val="000000"/>
        </w:rPr>
        <w:t xml:space="preserve"> IXP-</w:t>
      </w:r>
      <w:proofErr w:type="spellStart"/>
      <w:r w:rsidRPr="00561972">
        <w:rPr>
          <w:color w:val="000000"/>
        </w:rPr>
        <w:t>операторові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надавати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непов’язані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послуги</w:t>
      </w:r>
      <w:proofErr w:type="spellEnd"/>
      <w:r w:rsidRPr="00561972">
        <w:rPr>
          <w:color w:val="000000"/>
        </w:rPr>
        <w:t xml:space="preserve">. IXP </w:t>
      </w:r>
      <w:proofErr w:type="spellStart"/>
      <w:r w:rsidRPr="00561972">
        <w:rPr>
          <w:color w:val="000000"/>
        </w:rPr>
        <w:t>існує</w:t>
      </w:r>
      <w:proofErr w:type="spellEnd"/>
      <w:r w:rsidRPr="00561972">
        <w:rPr>
          <w:color w:val="000000"/>
        </w:rPr>
        <w:t xml:space="preserve"> для </w:t>
      </w:r>
      <w:proofErr w:type="spellStart"/>
      <w:r w:rsidRPr="00561972">
        <w:rPr>
          <w:color w:val="000000"/>
        </w:rPr>
        <w:t>взаємоз’єднання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технічно</w:t>
      </w:r>
      <w:proofErr w:type="spellEnd"/>
      <w:r w:rsidRPr="00561972">
        <w:rPr>
          <w:color w:val="000000"/>
        </w:rPr>
        <w:t xml:space="preserve"> та </w:t>
      </w:r>
      <w:proofErr w:type="spellStart"/>
      <w:r w:rsidRPr="00561972">
        <w:rPr>
          <w:color w:val="000000"/>
        </w:rPr>
        <w:t>організаційно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відокремлених</w:t>
      </w:r>
      <w:proofErr w:type="spellEnd"/>
      <w:r w:rsidRPr="00561972">
        <w:rPr>
          <w:color w:val="000000"/>
        </w:rPr>
        <w:t xml:space="preserve"> мереж. </w:t>
      </w:r>
      <w:proofErr w:type="spellStart"/>
      <w:r w:rsidRPr="00561972">
        <w:rPr>
          <w:color w:val="000000"/>
        </w:rPr>
        <w:t>Термін</w:t>
      </w:r>
      <w:proofErr w:type="spellEnd"/>
      <w:r w:rsidRPr="00561972">
        <w:rPr>
          <w:color w:val="000000"/>
        </w:rPr>
        <w:t xml:space="preserve"> «автономна система» </w:t>
      </w:r>
      <w:proofErr w:type="spellStart"/>
      <w:r w:rsidRPr="00561972">
        <w:rPr>
          <w:color w:val="000000"/>
        </w:rPr>
        <w:t>використовується</w:t>
      </w:r>
      <w:proofErr w:type="spellEnd"/>
      <w:r w:rsidRPr="00561972">
        <w:rPr>
          <w:color w:val="000000"/>
        </w:rPr>
        <w:t xml:space="preserve"> для </w:t>
      </w:r>
      <w:proofErr w:type="spellStart"/>
      <w:r w:rsidRPr="00561972">
        <w:rPr>
          <w:color w:val="000000"/>
        </w:rPr>
        <w:t>опису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технічно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автономної</w:t>
      </w:r>
      <w:proofErr w:type="spellEnd"/>
      <w:r w:rsidRPr="00561972">
        <w:rPr>
          <w:color w:val="000000"/>
        </w:rPr>
        <w:t xml:space="preserve"> </w:t>
      </w:r>
      <w:proofErr w:type="spellStart"/>
      <w:r w:rsidRPr="00561972">
        <w:rPr>
          <w:color w:val="000000"/>
        </w:rPr>
        <w:t>мережі</w:t>
      </w:r>
      <w:proofErr w:type="spellEnd"/>
      <w:r w:rsidRPr="00561972">
        <w:rPr>
          <w:color w:val="000000"/>
        </w:rPr>
        <w:t>.</w:t>
      </w:r>
    </w:p>
    <w:p w:rsidR="008D4DDD" w:rsidRPr="00561972" w:rsidRDefault="008D4DDD" w:rsidP="005619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(20) У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операторів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-члени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оцінити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щонайменше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кожного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підсектора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вказаного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цій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Директиві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вважати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основними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підтримки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критичної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соціально-економічної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суб'єкти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перелічені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секторах та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підсекторах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вказаних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цій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Директиві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надають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відповідають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критеріям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операторів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Здійснюючи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оцінювання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надає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суб’єкт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послугу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основною для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підтримки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критичної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соціально-економічної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достатньо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перевірити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такий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суб’єкт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надає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послугу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включена </w:t>
      </w:r>
      <w:proofErr w:type="gram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списку</w:t>
      </w:r>
      <w:proofErr w:type="gram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Крім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того,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довести,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такої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основної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залежить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мережевих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інформаційних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систем.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Врешті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здійснюючи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оцінювання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інцидент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значний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негативний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вплив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-члени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враховувати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міжсекторальні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чинники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доречно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секторальні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чинники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4DDD" w:rsidRPr="00561972" w:rsidRDefault="008D4DDD" w:rsidP="00561972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(22)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суб’єкти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діють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секторах</w:t>
      </w:r>
      <w:proofErr w:type="gram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підсекторах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вказаних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цій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Директив,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надають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і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неосновні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Наприклад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секторі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повітряного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транспорту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аеропорти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надають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держава-член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вважати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основними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наприклад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управління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злітно-приземлювальною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смугою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але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певні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можуть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вважатися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неосновними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наприклад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торгових</w:t>
      </w:r>
      <w:proofErr w:type="spellEnd"/>
      <w:r w:rsidRPr="00561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зон.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Оператори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виконувати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конкретні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безпекові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вимоги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лише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стосовно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таких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вважаються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основними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З метою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операторів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-члени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створити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список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які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вважаються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основними</w:t>
      </w:r>
      <w:proofErr w:type="spellEnd"/>
      <w:r w:rsidRPr="005619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8D4DDD" w:rsidRPr="00561972" w:rsidRDefault="008D4DDD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3A12" w:rsidRPr="00561972" w:rsidRDefault="00A83A1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3A12" w:rsidRPr="00561972" w:rsidRDefault="00A83A1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3A12" w:rsidRPr="00561972" w:rsidRDefault="00A83A12" w:rsidP="00C3112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A83A12" w:rsidRPr="00561972" w:rsidSect="00D138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D8"/>
    <w:rsid w:val="00031109"/>
    <w:rsid w:val="00050729"/>
    <w:rsid w:val="003627B2"/>
    <w:rsid w:val="00437FEF"/>
    <w:rsid w:val="005418A3"/>
    <w:rsid w:val="00561972"/>
    <w:rsid w:val="005B00F9"/>
    <w:rsid w:val="00673071"/>
    <w:rsid w:val="007E1399"/>
    <w:rsid w:val="008009D8"/>
    <w:rsid w:val="008D4DDD"/>
    <w:rsid w:val="009D5E27"/>
    <w:rsid w:val="00A838CF"/>
    <w:rsid w:val="00A83A12"/>
    <w:rsid w:val="00B615BC"/>
    <w:rsid w:val="00BE7490"/>
    <w:rsid w:val="00C31122"/>
    <w:rsid w:val="00D1382D"/>
    <w:rsid w:val="00D66AD8"/>
    <w:rsid w:val="00D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B1C5"/>
  <w15:chartTrackingRefBased/>
  <w15:docId w15:val="{1A83761F-10EE-4B1A-BAAF-EE24BB1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009D8"/>
  </w:style>
  <w:style w:type="paragraph" w:customStyle="1" w:styleId="rvps2">
    <w:name w:val="rvps2"/>
    <w:basedOn w:val="a"/>
    <w:rsid w:val="008D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490"/>
    <w:rPr>
      <w:color w:val="0000FF"/>
      <w:u w:val="single"/>
    </w:rPr>
  </w:style>
  <w:style w:type="character" w:customStyle="1" w:styleId="rvts15">
    <w:name w:val="rvts15"/>
    <w:basedOn w:val="a0"/>
    <w:rsid w:val="00BE7490"/>
  </w:style>
  <w:style w:type="paragraph" w:customStyle="1" w:styleId="rvps7">
    <w:name w:val="rvps7"/>
    <w:basedOn w:val="a"/>
    <w:rsid w:val="00B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C31122"/>
  </w:style>
  <w:style w:type="character" w:customStyle="1" w:styleId="rvts23">
    <w:name w:val="rvts23"/>
    <w:basedOn w:val="a0"/>
    <w:rsid w:val="00C3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84_013-16" TargetMode="External"/><Relationship Id="rId4" Type="http://schemas.openxmlformats.org/officeDocument/2006/relationships/hyperlink" Target="https://zakon.rada.gov.ua/laws/show/984_013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Новак</dc:creator>
  <cp:keywords/>
  <dc:description/>
  <cp:lastModifiedBy>Анна Новак</cp:lastModifiedBy>
  <cp:revision>14</cp:revision>
  <dcterms:created xsi:type="dcterms:W3CDTF">2019-12-19T12:09:00Z</dcterms:created>
  <dcterms:modified xsi:type="dcterms:W3CDTF">2019-12-19T14:14:00Z</dcterms:modified>
</cp:coreProperties>
</file>