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C0" w:rsidRDefault="002638C0" w:rsidP="002638C0">
      <w:pPr>
        <w:jc w:val="right"/>
        <w:rPr>
          <w:rFonts w:ascii="Times New Roman" w:eastAsia="Times New Roman" w:hAnsi="Times New Roman" w:cs="Times New Roman"/>
          <w:b/>
          <w:bCs/>
          <w:sz w:val="26"/>
          <w:szCs w:val="26"/>
          <w:lang w:val="uk-UA"/>
        </w:rPr>
      </w:pPr>
      <w:r>
        <w:rPr>
          <w:rFonts w:ascii="Times New Roman" w:eastAsia="Times New Roman" w:hAnsi="Times New Roman" w:cs="Times New Roman"/>
          <w:b/>
          <w:bCs/>
          <w:sz w:val="26"/>
          <w:szCs w:val="26"/>
          <w:lang w:val="uk-UA"/>
        </w:rPr>
        <w:t xml:space="preserve">Додаток до листа </w:t>
      </w:r>
      <w:proofErr w:type="spellStart"/>
      <w:r>
        <w:rPr>
          <w:rFonts w:ascii="Times New Roman" w:eastAsia="Times New Roman" w:hAnsi="Times New Roman" w:cs="Times New Roman"/>
          <w:b/>
          <w:bCs/>
          <w:sz w:val="26"/>
          <w:szCs w:val="26"/>
          <w:lang w:val="uk-UA"/>
        </w:rPr>
        <w:t>Телекомпалати</w:t>
      </w:r>
      <w:proofErr w:type="spellEnd"/>
      <w:r>
        <w:rPr>
          <w:rFonts w:ascii="Times New Roman" w:eastAsia="Times New Roman" w:hAnsi="Times New Roman" w:cs="Times New Roman"/>
          <w:b/>
          <w:bCs/>
          <w:sz w:val="26"/>
          <w:szCs w:val="26"/>
          <w:lang w:val="uk-UA"/>
        </w:rPr>
        <w:t xml:space="preserve"> України від 04.11.2019 №</w:t>
      </w:r>
      <w:r w:rsidR="007B68D1">
        <w:rPr>
          <w:rFonts w:ascii="Times New Roman" w:eastAsia="Times New Roman" w:hAnsi="Times New Roman" w:cs="Times New Roman"/>
          <w:b/>
          <w:bCs/>
          <w:sz w:val="26"/>
          <w:szCs w:val="26"/>
          <w:lang w:val="uk-UA"/>
        </w:rPr>
        <w:t>2385</w:t>
      </w:r>
    </w:p>
    <w:p w:rsidR="002638C0" w:rsidRDefault="00745FF1" w:rsidP="002638C0">
      <w:pPr>
        <w:pStyle w:val="1"/>
        <w:ind w:left="0"/>
        <w:jc w:val="center"/>
      </w:pPr>
      <w:r w:rsidRPr="00D957A6">
        <w:t xml:space="preserve">Пропозиції щодо наповнення проекту </w:t>
      </w:r>
      <w:r w:rsidR="002638C0">
        <w:t>П</w:t>
      </w:r>
      <w:r w:rsidRPr="00D957A6">
        <w:t xml:space="preserve">лану </w:t>
      </w:r>
      <w:r w:rsidR="002638C0" w:rsidRPr="00F66CB5">
        <w:t xml:space="preserve">дерегуляції господарської діяльності </w:t>
      </w:r>
    </w:p>
    <w:p w:rsidR="00745FF1" w:rsidRPr="00D957A6" w:rsidRDefault="00745FF1" w:rsidP="002638C0">
      <w:pPr>
        <w:pStyle w:val="1"/>
        <w:ind w:left="0"/>
        <w:jc w:val="center"/>
      </w:pPr>
      <w:r w:rsidRPr="00D957A6">
        <w:t>новими ініціативами</w:t>
      </w:r>
    </w:p>
    <w:p w:rsidR="00745FF1" w:rsidRPr="00D957A6" w:rsidRDefault="00745FF1" w:rsidP="00745FF1">
      <w:pPr>
        <w:pStyle w:val="1"/>
        <w:ind w:left="3074"/>
      </w:pPr>
    </w:p>
    <w:tbl>
      <w:tblPr>
        <w:tblW w:w="1344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
        <w:gridCol w:w="1784"/>
        <w:gridCol w:w="2628"/>
        <w:gridCol w:w="2081"/>
        <w:gridCol w:w="2030"/>
        <w:gridCol w:w="1585"/>
        <w:gridCol w:w="2943"/>
      </w:tblGrid>
      <w:tr w:rsidR="00745FF1" w:rsidRPr="00D957A6" w:rsidTr="006E0D54">
        <w:trPr>
          <w:trHeight w:val="611"/>
        </w:trPr>
        <w:tc>
          <w:tcPr>
            <w:tcW w:w="397" w:type="dxa"/>
          </w:tcPr>
          <w:p w:rsidR="00745FF1" w:rsidRPr="00D957A6" w:rsidRDefault="00745FF1" w:rsidP="00B14E90">
            <w:pPr>
              <w:pStyle w:val="TableParagraph"/>
              <w:ind w:left="19"/>
              <w:jc w:val="center"/>
              <w:rPr>
                <w:b/>
                <w:sz w:val="20"/>
                <w:szCs w:val="20"/>
              </w:rPr>
            </w:pPr>
            <w:r w:rsidRPr="00D957A6">
              <w:rPr>
                <w:b/>
                <w:sz w:val="20"/>
                <w:szCs w:val="20"/>
              </w:rPr>
              <w:t>№</w:t>
            </w:r>
          </w:p>
        </w:tc>
        <w:tc>
          <w:tcPr>
            <w:tcW w:w="1784" w:type="dxa"/>
          </w:tcPr>
          <w:p w:rsidR="00745FF1" w:rsidRPr="00D957A6" w:rsidRDefault="00745FF1" w:rsidP="00B14E90">
            <w:pPr>
              <w:pStyle w:val="TableParagraph"/>
              <w:ind w:left="47" w:right="177"/>
              <w:jc w:val="center"/>
              <w:rPr>
                <w:b/>
                <w:sz w:val="20"/>
                <w:szCs w:val="20"/>
              </w:rPr>
            </w:pPr>
            <w:r w:rsidRPr="00D957A6">
              <w:rPr>
                <w:b/>
                <w:sz w:val="20"/>
                <w:szCs w:val="20"/>
              </w:rPr>
              <w:t>Проблема/бар’єр</w:t>
            </w:r>
          </w:p>
        </w:tc>
        <w:tc>
          <w:tcPr>
            <w:tcW w:w="2628" w:type="dxa"/>
          </w:tcPr>
          <w:p w:rsidR="00745FF1" w:rsidRPr="00D957A6" w:rsidRDefault="00745FF1" w:rsidP="00B14E90">
            <w:pPr>
              <w:pStyle w:val="TableParagraph"/>
              <w:ind w:left="47" w:right="177"/>
              <w:jc w:val="center"/>
              <w:rPr>
                <w:b/>
                <w:sz w:val="20"/>
                <w:szCs w:val="20"/>
              </w:rPr>
            </w:pPr>
            <w:r w:rsidRPr="00D957A6">
              <w:rPr>
                <w:b/>
                <w:sz w:val="20"/>
                <w:szCs w:val="20"/>
              </w:rPr>
              <w:t>Короткий опис суті проблематики</w:t>
            </w:r>
          </w:p>
        </w:tc>
        <w:tc>
          <w:tcPr>
            <w:tcW w:w="2081" w:type="dxa"/>
          </w:tcPr>
          <w:p w:rsidR="00745FF1" w:rsidRPr="00D957A6" w:rsidRDefault="00745FF1" w:rsidP="00B14E90">
            <w:pPr>
              <w:pStyle w:val="TableParagraph"/>
              <w:ind w:left="47" w:right="177"/>
              <w:jc w:val="center"/>
              <w:rPr>
                <w:b/>
                <w:sz w:val="20"/>
                <w:szCs w:val="20"/>
              </w:rPr>
            </w:pPr>
            <w:r w:rsidRPr="00D957A6">
              <w:rPr>
                <w:b/>
                <w:sz w:val="20"/>
                <w:szCs w:val="20"/>
              </w:rPr>
              <w:t>Рішення/Захід, що вирішить проблему</w:t>
            </w:r>
          </w:p>
        </w:tc>
        <w:tc>
          <w:tcPr>
            <w:tcW w:w="2030" w:type="dxa"/>
          </w:tcPr>
          <w:p w:rsidR="00745FF1" w:rsidRPr="00D957A6" w:rsidRDefault="00745FF1" w:rsidP="00B14E90">
            <w:pPr>
              <w:pStyle w:val="TableParagraph"/>
              <w:ind w:left="47" w:right="177"/>
              <w:jc w:val="center"/>
              <w:rPr>
                <w:b/>
                <w:sz w:val="20"/>
                <w:szCs w:val="20"/>
              </w:rPr>
            </w:pPr>
            <w:r w:rsidRPr="00D957A6">
              <w:rPr>
                <w:b/>
                <w:sz w:val="20"/>
                <w:szCs w:val="20"/>
              </w:rPr>
              <w:t>Виконавець (ЦОВВ)</w:t>
            </w:r>
          </w:p>
        </w:tc>
        <w:tc>
          <w:tcPr>
            <w:tcW w:w="1585" w:type="dxa"/>
          </w:tcPr>
          <w:p w:rsidR="00745FF1" w:rsidRPr="00D957A6" w:rsidRDefault="00745FF1" w:rsidP="00B14E90">
            <w:pPr>
              <w:pStyle w:val="TableParagraph"/>
              <w:ind w:left="47" w:right="177"/>
              <w:jc w:val="center"/>
              <w:rPr>
                <w:b/>
                <w:sz w:val="20"/>
                <w:szCs w:val="20"/>
              </w:rPr>
            </w:pPr>
            <w:r w:rsidRPr="00D957A6">
              <w:rPr>
                <w:b/>
                <w:sz w:val="20"/>
                <w:szCs w:val="20"/>
              </w:rPr>
              <w:t>Строк виконання</w:t>
            </w:r>
          </w:p>
        </w:tc>
        <w:tc>
          <w:tcPr>
            <w:tcW w:w="2943" w:type="dxa"/>
          </w:tcPr>
          <w:p w:rsidR="00745FF1" w:rsidRPr="00D957A6" w:rsidRDefault="00745FF1" w:rsidP="00B14E90">
            <w:pPr>
              <w:pStyle w:val="TableParagraph"/>
              <w:ind w:left="47" w:right="177"/>
              <w:jc w:val="center"/>
              <w:rPr>
                <w:b/>
                <w:sz w:val="20"/>
                <w:szCs w:val="20"/>
              </w:rPr>
            </w:pPr>
            <w:r w:rsidRPr="00D957A6">
              <w:rPr>
                <w:b/>
                <w:sz w:val="20"/>
                <w:szCs w:val="20"/>
              </w:rPr>
              <w:t>Пріоритетність/Економічний ефект</w:t>
            </w:r>
          </w:p>
        </w:tc>
      </w:tr>
      <w:tr w:rsidR="00B87474" w:rsidRPr="007B68D1" w:rsidTr="006E0D54">
        <w:trPr>
          <w:trHeight w:val="611"/>
        </w:trPr>
        <w:tc>
          <w:tcPr>
            <w:tcW w:w="397" w:type="dxa"/>
          </w:tcPr>
          <w:p w:rsidR="00B87474" w:rsidRDefault="00B87474" w:rsidP="00B87474">
            <w:r>
              <w:t>1.</w:t>
            </w:r>
          </w:p>
        </w:tc>
        <w:tc>
          <w:tcPr>
            <w:tcW w:w="1784" w:type="dxa"/>
          </w:tcPr>
          <w:p w:rsidR="00B87474" w:rsidRDefault="00B87474" w:rsidP="00B87474">
            <w:pPr>
              <w:jc w:val="both"/>
            </w:pPr>
            <w:r>
              <w:rPr>
                <w:rFonts w:ascii="Times New Roman" w:eastAsia="Calibri" w:hAnsi="Times New Roman" w:cs="Times New Roman"/>
                <w:sz w:val="18"/>
                <w:lang w:val="uk-UA"/>
              </w:rPr>
              <w:t xml:space="preserve">Невідповідність вимогам законодавства Тимчасових тарифів, які мають застосовуватись у випадку недосягнення згоди між організацією колективного управління авторськими та суміжними правами з користувачами об’єктами  авторських  </w:t>
            </w:r>
            <w:r w:rsidRPr="00525C0E">
              <w:rPr>
                <w:rFonts w:ascii="Times New Roman" w:eastAsia="Calibri" w:hAnsi="Times New Roman" w:cs="Times New Roman"/>
                <w:sz w:val="18"/>
                <w:lang w:val="uk-UA"/>
              </w:rPr>
              <w:t xml:space="preserve"> </w:t>
            </w:r>
            <w:r>
              <w:rPr>
                <w:rFonts w:ascii="Times New Roman" w:eastAsia="Calibri" w:hAnsi="Times New Roman" w:cs="Times New Roman"/>
                <w:sz w:val="18"/>
                <w:lang w:val="uk-UA"/>
              </w:rPr>
              <w:t>та суміжних прав.</w:t>
            </w:r>
          </w:p>
        </w:tc>
        <w:tc>
          <w:tcPr>
            <w:tcW w:w="2628" w:type="dxa"/>
          </w:tcPr>
          <w:p w:rsidR="00B87474" w:rsidRDefault="00B87474" w:rsidP="00B87474">
            <w:pPr>
              <w:jc w:val="both"/>
              <w:rPr>
                <w:rFonts w:ascii="Times New Roman" w:eastAsia="Calibri" w:hAnsi="Times New Roman" w:cs="Times New Roman"/>
                <w:sz w:val="18"/>
                <w:lang w:val="uk-UA"/>
              </w:rPr>
            </w:pPr>
            <w:r>
              <w:rPr>
                <w:rFonts w:ascii="Times New Roman" w:eastAsia="Calibri" w:hAnsi="Times New Roman" w:cs="Times New Roman"/>
                <w:sz w:val="18"/>
                <w:lang w:val="uk-UA"/>
              </w:rPr>
              <w:t>Відповідно до Закону 2415, виплата авторам, виконавцям та виробникам фонограм має здійснюватися через акредитовані організації колективного управління.  Законом передбачена можливість домовленостей між ОКУ та відповідною індустрією щодо конкретних тарифів, водночас, якщо такої згоди не буде досягнуто, мають застосовуватись Тимчасові тарифи, які затверджуються Постановою КМУ.</w:t>
            </w:r>
          </w:p>
          <w:p w:rsidR="00B87474" w:rsidRPr="00EA20A4" w:rsidRDefault="00B87474" w:rsidP="00B87474">
            <w:pPr>
              <w:jc w:val="both"/>
              <w:rPr>
                <w:lang w:val="uk-UA"/>
              </w:rPr>
            </w:pPr>
            <w:r>
              <w:rPr>
                <w:rFonts w:ascii="Times New Roman" w:eastAsia="Calibri" w:hAnsi="Times New Roman" w:cs="Times New Roman"/>
                <w:sz w:val="18"/>
                <w:lang w:val="uk-UA"/>
              </w:rPr>
              <w:t xml:space="preserve">КМУ прийнято Постанову №696 від 14.08.2019, але ці затверджені тарифи </w:t>
            </w:r>
            <w:r w:rsidRPr="00525C0E">
              <w:rPr>
                <w:rFonts w:ascii="Times New Roman" w:eastAsia="Calibri" w:hAnsi="Times New Roman" w:cs="Times New Roman"/>
                <w:sz w:val="18"/>
                <w:lang w:val="uk-UA"/>
              </w:rPr>
              <w:t>не відповідають вимогам Закону</w:t>
            </w:r>
            <w:r>
              <w:rPr>
                <w:rFonts w:ascii="Times New Roman" w:eastAsia="Calibri" w:hAnsi="Times New Roman" w:cs="Times New Roman"/>
                <w:sz w:val="18"/>
                <w:lang w:val="uk-UA"/>
              </w:rPr>
              <w:t xml:space="preserve"> 2415, зокрема статті 20. По суті КМУ залишив ті тарифи, які діяли як мінімальні ставки винагороди відповідно до старих </w:t>
            </w:r>
            <w:r w:rsidRPr="00525C0E">
              <w:rPr>
                <w:rFonts w:ascii="Times New Roman" w:eastAsia="Calibri" w:hAnsi="Times New Roman" w:cs="Times New Roman"/>
                <w:sz w:val="18"/>
                <w:lang w:val="uk-UA"/>
              </w:rPr>
              <w:t xml:space="preserve">постанов 2003 року (№71 і №72), </w:t>
            </w:r>
            <w:r>
              <w:rPr>
                <w:rFonts w:ascii="Times New Roman" w:eastAsia="Calibri" w:hAnsi="Times New Roman" w:cs="Times New Roman"/>
                <w:sz w:val="18"/>
                <w:lang w:val="uk-UA"/>
              </w:rPr>
              <w:t>які крім невідповідності критеріям закону, є застарілим та економічно необґрунтованими.</w:t>
            </w:r>
          </w:p>
        </w:tc>
        <w:tc>
          <w:tcPr>
            <w:tcW w:w="2081" w:type="dxa"/>
          </w:tcPr>
          <w:p w:rsidR="00B87474" w:rsidRPr="00EA20A4" w:rsidRDefault="00B87474" w:rsidP="00B87474">
            <w:pPr>
              <w:jc w:val="both"/>
              <w:rPr>
                <w:lang w:val="uk-UA"/>
              </w:rPr>
            </w:pPr>
            <w:r>
              <w:rPr>
                <w:rFonts w:ascii="Times New Roman" w:eastAsia="Calibri" w:hAnsi="Times New Roman" w:cs="Times New Roman"/>
                <w:sz w:val="18"/>
                <w:lang w:val="uk-UA"/>
              </w:rPr>
              <w:t xml:space="preserve">Скасування Постанови КМУ </w:t>
            </w:r>
            <w:r w:rsidRPr="00011D78">
              <w:rPr>
                <w:rFonts w:ascii="Times New Roman" w:eastAsia="Calibri" w:hAnsi="Times New Roman" w:cs="Times New Roman"/>
                <w:sz w:val="18"/>
                <w:lang w:val="uk-UA"/>
              </w:rPr>
              <w:t>№696 від 14.08.2019.</w:t>
            </w:r>
          </w:p>
        </w:tc>
        <w:tc>
          <w:tcPr>
            <w:tcW w:w="2030" w:type="dxa"/>
          </w:tcPr>
          <w:p w:rsidR="00B87474" w:rsidRPr="00EA20A4" w:rsidRDefault="00B87474" w:rsidP="00B87474">
            <w:pPr>
              <w:jc w:val="both"/>
              <w:rPr>
                <w:lang w:val="uk-UA"/>
              </w:rPr>
            </w:pPr>
            <w:r w:rsidRPr="00525C0E">
              <w:rPr>
                <w:rFonts w:ascii="Times New Roman" w:eastAsia="Calibri" w:hAnsi="Times New Roman" w:cs="Times New Roman"/>
                <w:sz w:val="18"/>
                <w:lang w:val="uk-UA"/>
              </w:rPr>
              <w:t>Міністерство розвитку економіки, торгівлі та сільського господарства Укр</w:t>
            </w:r>
            <w:bookmarkStart w:id="0" w:name="_GoBack"/>
            <w:bookmarkEnd w:id="0"/>
            <w:r w:rsidRPr="00525C0E">
              <w:rPr>
                <w:rFonts w:ascii="Times New Roman" w:eastAsia="Calibri" w:hAnsi="Times New Roman" w:cs="Times New Roman"/>
                <w:sz w:val="18"/>
                <w:lang w:val="uk-UA"/>
              </w:rPr>
              <w:t>аїни;</w:t>
            </w:r>
          </w:p>
        </w:tc>
        <w:tc>
          <w:tcPr>
            <w:tcW w:w="1585" w:type="dxa"/>
          </w:tcPr>
          <w:p w:rsidR="00B87474" w:rsidRPr="00EA20A4" w:rsidRDefault="00B87474" w:rsidP="00B87474">
            <w:pPr>
              <w:jc w:val="both"/>
              <w:rPr>
                <w:lang w:val="uk-UA"/>
              </w:rPr>
            </w:pPr>
            <w:r>
              <w:rPr>
                <w:rFonts w:ascii="Times New Roman" w:eastAsia="Calibri" w:hAnsi="Times New Roman" w:cs="Times New Roman"/>
                <w:sz w:val="18"/>
                <w:lang w:val="uk-UA"/>
              </w:rPr>
              <w:t>До кінця року</w:t>
            </w:r>
          </w:p>
        </w:tc>
        <w:tc>
          <w:tcPr>
            <w:tcW w:w="2943" w:type="dxa"/>
          </w:tcPr>
          <w:p w:rsidR="00B87474" w:rsidRPr="00EA20A4" w:rsidRDefault="00B87474" w:rsidP="00B87474">
            <w:pPr>
              <w:jc w:val="both"/>
              <w:rPr>
                <w:lang w:val="uk-UA"/>
              </w:rPr>
            </w:pPr>
            <w:r>
              <w:rPr>
                <w:rFonts w:ascii="Times New Roman" w:eastAsia="Calibri" w:hAnsi="Times New Roman" w:cs="Times New Roman"/>
                <w:sz w:val="18"/>
                <w:lang w:val="uk-UA"/>
              </w:rPr>
              <w:t>У випадку застосування спірних тарифів, розмір неправомірних стягнень з користувачів буде сягати 456  млн. грн</w:t>
            </w:r>
          </w:p>
        </w:tc>
      </w:tr>
      <w:tr w:rsidR="00B87474" w:rsidRPr="007B68D1" w:rsidTr="006E0D54">
        <w:trPr>
          <w:trHeight w:val="611"/>
        </w:trPr>
        <w:tc>
          <w:tcPr>
            <w:tcW w:w="397" w:type="dxa"/>
          </w:tcPr>
          <w:p w:rsidR="00B87474" w:rsidRPr="00EA20A4" w:rsidRDefault="00B87474" w:rsidP="00B87474">
            <w:pPr>
              <w:rPr>
                <w:lang w:val="uk-UA"/>
              </w:rPr>
            </w:pPr>
            <w:r>
              <w:rPr>
                <w:lang w:val="uk-UA"/>
              </w:rPr>
              <w:t>2.</w:t>
            </w:r>
          </w:p>
        </w:tc>
        <w:tc>
          <w:tcPr>
            <w:tcW w:w="1784" w:type="dxa"/>
          </w:tcPr>
          <w:p w:rsidR="00B87474" w:rsidRPr="006B0B0C" w:rsidRDefault="00B87474" w:rsidP="00B87474">
            <w:pPr>
              <w:jc w:val="both"/>
              <w:rPr>
                <w:rFonts w:ascii="Times New Roman" w:eastAsia="Calibri" w:hAnsi="Times New Roman" w:cs="Times New Roman"/>
                <w:sz w:val="18"/>
                <w:lang w:val="uk-UA"/>
              </w:rPr>
            </w:pPr>
            <w:r>
              <w:rPr>
                <w:rFonts w:ascii="Times New Roman" w:eastAsia="Calibri" w:hAnsi="Times New Roman" w:cs="Times New Roman"/>
                <w:sz w:val="18"/>
                <w:lang w:val="uk-UA"/>
              </w:rPr>
              <w:t xml:space="preserve">Невідповідність вимог </w:t>
            </w:r>
            <w:r w:rsidRPr="006B0B0C">
              <w:rPr>
                <w:rFonts w:ascii="Times New Roman" w:eastAsia="Calibri" w:hAnsi="Times New Roman" w:cs="Times New Roman"/>
                <w:sz w:val="18"/>
                <w:lang w:val="uk-UA"/>
              </w:rPr>
              <w:t xml:space="preserve">Наказу </w:t>
            </w:r>
            <w:r w:rsidRPr="004B4ABE">
              <w:rPr>
                <w:rFonts w:ascii="Times New Roman" w:eastAsia="Calibri" w:hAnsi="Times New Roman" w:cs="Times New Roman"/>
                <w:sz w:val="18"/>
                <w:lang w:val="uk-UA"/>
              </w:rPr>
              <w:t>Міністерств</w:t>
            </w:r>
            <w:r>
              <w:rPr>
                <w:rFonts w:ascii="Times New Roman" w:eastAsia="Calibri" w:hAnsi="Times New Roman" w:cs="Times New Roman"/>
                <w:sz w:val="18"/>
                <w:lang w:val="uk-UA"/>
              </w:rPr>
              <w:t>а</w:t>
            </w:r>
            <w:r w:rsidRPr="004B4ABE">
              <w:rPr>
                <w:rFonts w:ascii="Times New Roman" w:eastAsia="Calibri" w:hAnsi="Times New Roman" w:cs="Times New Roman"/>
                <w:sz w:val="18"/>
                <w:lang w:val="uk-UA"/>
              </w:rPr>
              <w:t xml:space="preserve"> регіонального розвитку, будівництва та житлово-комунального господарства </w:t>
            </w:r>
            <w:r w:rsidRPr="006B0B0C">
              <w:rPr>
                <w:rFonts w:ascii="Times New Roman" w:eastAsia="Calibri" w:hAnsi="Times New Roman" w:cs="Times New Roman"/>
                <w:sz w:val="18"/>
                <w:lang w:val="uk-UA"/>
              </w:rPr>
              <w:t xml:space="preserve"> від 26.03.2019 року</w:t>
            </w:r>
            <w:r w:rsidRPr="004B4ABE">
              <w:rPr>
                <w:rFonts w:ascii="Times New Roman" w:eastAsia="Calibri" w:hAnsi="Times New Roman" w:cs="Times New Roman"/>
                <w:sz w:val="18"/>
                <w:lang w:val="uk-UA"/>
              </w:rPr>
              <w:t xml:space="preserve"> </w:t>
            </w:r>
            <w:r w:rsidRPr="006B0B0C">
              <w:rPr>
                <w:rFonts w:ascii="Times New Roman" w:eastAsia="Calibri" w:hAnsi="Times New Roman" w:cs="Times New Roman"/>
                <w:sz w:val="18"/>
                <w:lang w:val="uk-UA"/>
              </w:rPr>
              <w:t xml:space="preserve">№ 87 </w:t>
            </w:r>
            <w:r w:rsidRPr="004B4ABE">
              <w:rPr>
                <w:rFonts w:ascii="Times New Roman" w:eastAsia="Calibri" w:hAnsi="Times New Roman" w:cs="Times New Roman"/>
                <w:sz w:val="18"/>
                <w:lang w:val="uk-UA"/>
              </w:rPr>
              <w:t xml:space="preserve">затверджено ДБН В.2.2-15:2019 </w:t>
            </w:r>
            <w:r w:rsidRPr="004B4ABE">
              <w:rPr>
                <w:rFonts w:ascii="Times New Roman" w:eastAsia="Calibri" w:hAnsi="Times New Roman" w:cs="Times New Roman"/>
                <w:sz w:val="18"/>
                <w:lang w:val="uk-UA"/>
              </w:rPr>
              <w:lastRenderedPageBreak/>
              <w:t>"Житлові будинки. Основні положення"</w:t>
            </w:r>
            <w:r>
              <w:rPr>
                <w:rFonts w:ascii="Times New Roman" w:eastAsia="Calibri" w:hAnsi="Times New Roman" w:cs="Times New Roman"/>
                <w:sz w:val="18"/>
                <w:lang w:val="uk-UA"/>
              </w:rPr>
              <w:t xml:space="preserve"> вимогам ЗУ « Про телекомунікації», ЗУ </w:t>
            </w:r>
            <w:r w:rsidRPr="004B4ABE">
              <w:rPr>
                <w:rFonts w:ascii="Times New Roman" w:eastAsia="Calibri" w:hAnsi="Times New Roman" w:cs="Times New Roman"/>
                <w:sz w:val="18"/>
                <w:lang w:val="uk-UA"/>
              </w:rPr>
              <w:t>«Про доступ до об’єктів будівництва, транспорту, електроенергетики з метою розвитку телекомунікаційних мереж»</w:t>
            </w:r>
          </w:p>
        </w:tc>
        <w:tc>
          <w:tcPr>
            <w:tcW w:w="2628" w:type="dxa"/>
          </w:tcPr>
          <w:p w:rsidR="00B87474" w:rsidRPr="006B0B0C" w:rsidRDefault="00B87474" w:rsidP="00B87474">
            <w:pPr>
              <w:ind w:firstLine="709"/>
              <w:jc w:val="both"/>
              <w:rPr>
                <w:rFonts w:ascii="Times New Roman" w:eastAsia="Calibri" w:hAnsi="Times New Roman" w:cs="Times New Roman"/>
                <w:sz w:val="18"/>
                <w:lang w:val="uk-UA"/>
              </w:rPr>
            </w:pPr>
            <w:bookmarkStart w:id="1" w:name="_Hlk20831529"/>
            <w:r w:rsidRPr="006B0B0C">
              <w:rPr>
                <w:rFonts w:ascii="Times New Roman" w:eastAsia="Calibri" w:hAnsi="Times New Roman" w:cs="Times New Roman"/>
                <w:sz w:val="18"/>
                <w:lang w:val="uk-UA"/>
              </w:rPr>
              <w:lastRenderedPageBreak/>
              <w:t>ДБН В.2.2-15:2019</w:t>
            </w:r>
            <w:bookmarkEnd w:id="1"/>
            <w:r w:rsidRPr="006B0B0C">
              <w:rPr>
                <w:rFonts w:ascii="Times New Roman" w:eastAsia="Calibri" w:hAnsi="Times New Roman" w:cs="Times New Roman"/>
                <w:sz w:val="18"/>
                <w:lang w:val="uk-UA"/>
              </w:rPr>
              <w:t xml:space="preserve"> (</w:t>
            </w:r>
            <w:proofErr w:type="spellStart"/>
            <w:r w:rsidRPr="006B0B0C">
              <w:rPr>
                <w:rFonts w:ascii="Times New Roman" w:eastAsia="Calibri" w:hAnsi="Times New Roman" w:cs="Times New Roman"/>
                <w:sz w:val="18"/>
                <w:lang w:val="uk-UA"/>
              </w:rPr>
              <w:t>пп</w:t>
            </w:r>
            <w:proofErr w:type="spellEnd"/>
            <w:r w:rsidRPr="006B0B0C">
              <w:rPr>
                <w:rFonts w:ascii="Times New Roman" w:eastAsia="Calibri" w:hAnsi="Times New Roman" w:cs="Times New Roman"/>
                <w:sz w:val="18"/>
                <w:lang w:val="uk-UA"/>
              </w:rPr>
              <w:t xml:space="preserve">. «к» п. 5.40, передбачає заборону розміщення у житлових будинках (нежитлових приміщеннях) </w:t>
            </w:r>
            <w:proofErr w:type="spellStart"/>
            <w:r w:rsidRPr="006B0B0C">
              <w:rPr>
                <w:rFonts w:ascii="Times New Roman" w:eastAsia="Calibri" w:hAnsi="Times New Roman" w:cs="Times New Roman"/>
                <w:sz w:val="18"/>
                <w:lang w:val="uk-UA"/>
              </w:rPr>
              <w:t>телеком</w:t>
            </w:r>
            <w:proofErr w:type="spellEnd"/>
            <w:r w:rsidRPr="006B0B0C">
              <w:rPr>
                <w:rFonts w:ascii="Times New Roman" w:eastAsia="Calibri" w:hAnsi="Times New Roman" w:cs="Times New Roman"/>
                <w:sz w:val="18"/>
                <w:lang w:val="uk-UA"/>
              </w:rPr>
              <w:t xml:space="preserve"> обладнання, що фактично може заблокувати надання послуг доступу в Інтернет. </w:t>
            </w:r>
          </w:p>
          <w:p w:rsidR="00B87474" w:rsidRPr="006B0B0C" w:rsidRDefault="00B87474" w:rsidP="00B87474">
            <w:pPr>
              <w:ind w:firstLine="709"/>
              <w:jc w:val="both"/>
              <w:rPr>
                <w:rFonts w:ascii="Times New Roman" w:eastAsia="Calibri" w:hAnsi="Times New Roman" w:cs="Times New Roman"/>
                <w:sz w:val="18"/>
                <w:lang w:val="uk-UA"/>
              </w:rPr>
            </w:pPr>
          </w:p>
        </w:tc>
        <w:tc>
          <w:tcPr>
            <w:tcW w:w="2081" w:type="dxa"/>
          </w:tcPr>
          <w:p w:rsidR="00B87474" w:rsidRPr="006B0B0C" w:rsidRDefault="00B87474" w:rsidP="00B87474">
            <w:pPr>
              <w:rPr>
                <w:rFonts w:ascii="Times New Roman" w:eastAsia="Calibri" w:hAnsi="Times New Roman" w:cs="Times New Roman"/>
                <w:sz w:val="18"/>
                <w:lang w:val="uk-UA"/>
              </w:rPr>
            </w:pPr>
            <w:proofErr w:type="spellStart"/>
            <w:r w:rsidRPr="006B0B0C">
              <w:rPr>
                <w:rFonts w:ascii="Times New Roman" w:eastAsia="Calibri" w:hAnsi="Times New Roman" w:cs="Times New Roman"/>
                <w:sz w:val="18"/>
                <w:lang w:val="uk-UA"/>
              </w:rPr>
              <w:t>Внести</w:t>
            </w:r>
            <w:proofErr w:type="spellEnd"/>
            <w:r w:rsidRPr="006B0B0C">
              <w:rPr>
                <w:rFonts w:ascii="Times New Roman" w:eastAsia="Calibri" w:hAnsi="Times New Roman" w:cs="Times New Roman"/>
                <w:sz w:val="18"/>
                <w:lang w:val="uk-UA"/>
              </w:rPr>
              <w:t xml:space="preserve"> зміни до </w:t>
            </w:r>
            <w:proofErr w:type="spellStart"/>
            <w:r w:rsidRPr="006B0B0C">
              <w:rPr>
                <w:rFonts w:ascii="Times New Roman" w:eastAsia="Calibri" w:hAnsi="Times New Roman" w:cs="Times New Roman"/>
                <w:sz w:val="18"/>
                <w:lang w:val="uk-UA"/>
              </w:rPr>
              <w:t>пп</w:t>
            </w:r>
            <w:proofErr w:type="spellEnd"/>
            <w:r w:rsidRPr="006B0B0C">
              <w:rPr>
                <w:rFonts w:ascii="Times New Roman" w:eastAsia="Calibri" w:hAnsi="Times New Roman" w:cs="Times New Roman"/>
                <w:sz w:val="18"/>
                <w:lang w:val="uk-UA"/>
              </w:rPr>
              <w:t>. «к» п. 5.40 ДБН В.2.2-15:2019</w:t>
            </w:r>
          </w:p>
        </w:tc>
        <w:tc>
          <w:tcPr>
            <w:tcW w:w="2030" w:type="dxa"/>
          </w:tcPr>
          <w:p w:rsidR="00B87474" w:rsidRPr="006B0B0C" w:rsidRDefault="00B87474" w:rsidP="00B87474">
            <w:pPr>
              <w:rPr>
                <w:rFonts w:ascii="Times New Roman" w:eastAsia="Calibri" w:hAnsi="Times New Roman" w:cs="Times New Roman"/>
                <w:sz w:val="18"/>
                <w:lang w:val="uk-UA"/>
              </w:rPr>
            </w:pPr>
            <w:r w:rsidRPr="004B4ABE">
              <w:rPr>
                <w:rFonts w:ascii="Times New Roman" w:eastAsia="Calibri" w:hAnsi="Times New Roman" w:cs="Times New Roman"/>
                <w:sz w:val="18"/>
                <w:lang w:val="uk-UA"/>
              </w:rPr>
              <w:t>Міністерств</w:t>
            </w:r>
            <w:r>
              <w:rPr>
                <w:rFonts w:ascii="Times New Roman" w:eastAsia="Calibri" w:hAnsi="Times New Roman" w:cs="Times New Roman"/>
                <w:sz w:val="18"/>
                <w:lang w:val="uk-UA"/>
              </w:rPr>
              <w:t xml:space="preserve">о </w:t>
            </w:r>
            <w:r w:rsidRPr="004B4ABE">
              <w:rPr>
                <w:rFonts w:ascii="Times New Roman" w:eastAsia="Calibri" w:hAnsi="Times New Roman" w:cs="Times New Roman"/>
                <w:sz w:val="18"/>
                <w:lang w:val="uk-UA"/>
              </w:rPr>
              <w:t xml:space="preserve">регіонального розвитку, будівництва та житлово-комунального господарства </w:t>
            </w:r>
            <w:r w:rsidRPr="006B0B0C">
              <w:rPr>
                <w:rFonts w:ascii="Times New Roman" w:eastAsia="Calibri" w:hAnsi="Times New Roman" w:cs="Times New Roman"/>
                <w:sz w:val="18"/>
                <w:lang w:val="uk-UA"/>
              </w:rPr>
              <w:t xml:space="preserve"> </w:t>
            </w:r>
          </w:p>
        </w:tc>
        <w:tc>
          <w:tcPr>
            <w:tcW w:w="1585" w:type="dxa"/>
          </w:tcPr>
          <w:p w:rsidR="00B87474" w:rsidRPr="006B0B0C" w:rsidRDefault="00B87474" w:rsidP="00B87474">
            <w:pPr>
              <w:rPr>
                <w:rFonts w:ascii="Times New Roman" w:eastAsia="Calibri" w:hAnsi="Times New Roman" w:cs="Times New Roman"/>
                <w:sz w:val="18"/>
                <w:lang w:val="uk-UA"/>
              </w:rPr>
            </w:pPr>
            <w:r w:rsidRPr="006B0B0C">
              <w:rPr>
                <w:rFonts w:ascii="Times New Roman" w:eastAsia="Calibri" w:hAnsi="Times New Roman" w:cs="Times New Roman"/>
                <w:sz w:val="18"/>
                <w:lang w:val="uk-UA"/>
              </w:rPr>
              <w:t>До кінця року</w:t>
            </w:r>
          </w:p>
        </w:tc>
        <w:tc>
          <w:tcPr>
            <w:tcW w:w="2943" w:type="dxa"/>
          </w:tcPr>
          <w:p w:rsidR="00B87474" w:rsidRPr="001F1D7F" w:rsidRDefault="001F1D7F" w:rsidP="00B87474">
            <w:pPr>
              <w:rPr>
                <w:rFonts w:ascii="Times New Roman" w:eastAsia="Calibri" w:hAnsi="Times New Roman" w:cs="Times New Roman"/>
                <w:sz w:val="18"/>
                <w:lang w:val="uk-UA"/>
              </w:rPr>
            </w:pPr>
            <w:proofErr w:type="spellStart"/>
            <w:r w:rsidRPr="001F1D7F">
              <w:rPr>
                <w:rFonts w:ascii="Times New Roman" w:eastAsia="Calibri" w:hAnsi="Times New Roman" w:cs="Times New Roman"/>
                <w:sz w:val="18"/>
                <w:lang w:val="uk-UA"/>
              </w:rPr>
              <w:t>Пріоритетно</w:t>
            </w:r>
            <w:proofErr w:type="spellEnd"/>
            <w:r w:rsidRPr="001F1D7F">
              <w:rPr>
                <w:rFonts w:ascii="Times New Roman" w:eastAsia="Calibri" w:hAnsi="Times New Roman" w:cs="Times New Roman"/>
                <w:sz w:val="18"/>
                <w:lang w:val="uk-UA"/>
              </w:rPr>
              <w:t xml:space="preserve">/допоможе уникнути </w:t>
            </w:r>
            <w:proofErr w:type="spellStart"/>
            <w:r w:rsidRPr="001F1D7F">
              <w:rPr>
                <w:rFonts w:ascii="Times New Roman" w:eastAsia="Calibri" w:hAnsi="Times New Roman" w:cs="Times New Roman"/>
                <w:sz w:val="18"/>
                <w:lang w:val="uk-UA"/>
              </w:rPr>
              <w:t>маніпуляційних</w:t>
            </w:r>
            <w:proofErr w:type="spellEnd"/>
            <w:r w:rsidRPr="001F1D7F">
              <w:rPr>
                <w:rFonts w:ascii="Times New Roman" w:eastAsia="Calibri" w:hAnsi="Times New Roman" w:cs="Times New Roman"/>
                <w:sz w:val="18"/>
                <w:lang w:val="uk-UA"/>
              </w:rPr>
              <w:t xml:space="preserve"> дій зі сторони власників житлових та не житлових будинків з метою не допуску для розміщення </w:t>
            </w:r>
            <w:proofErr w:type="spellStart"/>
            <w:r w:rsidRPr="001F1D7F">
              <w:rPr>
                <w:rFonts w:ascii="Times New Roman" w:eastAsia="Calibri" w:hAnsi="Times New Roman" w:cs="Times New Roman"/>
                <w:sz w:val="18"/>
                <w:lang w:val="uk-UA"/>
              </w:rPr>
              <w:t>телекомобладнання</w:t>
            </w:r>
            <w:proofErr w:type="spellEnd"/>
            <w:r w:rsidRPr="001F1D7F">
              <w:rPr>
                <w:rFonts w:ascii="Times New Roman" w:eastAsia="Calibri" w:hAnsi="Times New Roman" w:cs="Times New Roman"/>
                <w:sz w:val="18"/>
                <w:lang w:val="uk-UA"/>
              </w:rPr>
              <w:br/>
            </w:r>
          </w:p>
        </w:tc>
      </w:tr>
      <w:tr w:rsidR="002910F4" w:rsidRPr="007B68D1" w:rsidTr="006E0D54">
        <w:trPr>
          <w:trHeight w:val="376"/>
        </w:trPr>
        <w:tc>
          <w:tcPr>
            <w:tcW w:w="397" w:type="dxa"/>
          </w:tcPr>
          <w:p w:rsidR="002910F4" w:rsidRPr="00D957A6" w:rsidRDefault="00E66C93" w:rsidP="00B14E90">
            <w:pPr>
              <w:pStyle w:val="TableParagraph"/>
              <w:rPr>
                <w:sz w:val="20"/>
                <w:szCs w:val="20"/>
              </w:rPr>
            </w:pPr>
            <w:r>
              <w:rPr>
                <w:sz w:val="20"/>
                <w:szCs w:val="20"/>
              </w:rPr>
              <w:t>3.</w:t>
            </w:r>
          </w:p>
        </w:tc>
        <w:tc>
          <w:tcPr>
            <w:tcW w:w="1784" w:type="dxa"/>
          </w:tcPr>
          <w:p w:rsidR="002910F4" w:rsidRPr="00D957A6" w:rsidRDefault="002910F4" w:rsidP="00B14E90">
            <w:pPr>
              <w:pStyle w:val="TableParagraph"/>
              <w:ind w:left="47" w:right="177"/>
              <w:rPr>
                <w:sz w:val="20"/>
                <w:szCs w:val="20"/>
              </w:rPr>
            </w:pPr>
            <w:r w:rsidRPr="00D957A6">
              <w:rPr>
                <w:sz w:val="20"/>
                <w:szCs w:val="20"/>
              </w:rPr>
              <w:t>1) існує подвійна звітність до державних органів за однаковими показниками,</w:t>
            </w:r>
          </w:p>
          <w:p w:rsidR="002910F4" w:rsidRPr="00D957A6" w:rsidRDefault="002910F4" w:rsidP="00B14E90">
            <w:pPr>
              <w:pStyle w:val="TableParagraph"/>
              <w:ind w:left="47" w:right="177"/>
              <w:rPr>
                <w:sz w:val="20"/>
                <w:szCs w:val="20"/>
              </w:rPr>
            </w:pPr>
            <w:r w:rsidRPr="00D957A6">
              <w:rPr>
                <w:sz w:val="20"/>
                <w:szCs w:val="20"/>
              </w:rPr>
              <w:t xml:space="preserve">2) збільшення кількісних показників звітності та форм їх подання </w:t>
            </w:r>
            <w:r w:rsidR="00211D2E" w:rsidRPr="00D957A6">
              <w:rPr>
                <w:sz w:val="20"/>
                <w:szCs w:val="20"/>
              </w:rPr>
              <w:t>і збільшення кількості звітних періодів</w:t>
            </w:r>
          </w:p>
          <w:p w:rsidR="002910F4" w:rsidRPr="00D957A6" w:rsidRDefault="002910F4" w:rsidP="00B14E90">
            <w:pPr>
              <w:pStyle w:val="TableParagraph"/>
              <w:ind w:left="47" w:right="177"/>
              <w:rPr>
                <w:sz w:val="20"/>
                <w:szCs w:val="20"/>
              </w:rPr>
            </w:pPr>
          </w:p>
        </w:tc>
        <w:tc>
          <w:tcPr>
            <w:tcW w:w="2628" w:type="dxa"/>
          </w:tcPr>
          <w:p w:rsidR="002910F4" w:rsidRPr="00D957A6" w:rsidRDefault="002910F4" w:rsidP="00B14E90">
            <w:pPr>
              <w:pStyle w:val="TableParagraph"/>
              <w:ind w:left="47" w:right="177"/>
              <w:rPr>
                <w:sz w:val="20"/>
                <w:szCs w:val="20"/>
              </w:rPr>
            </w:pPr>
            <w:r w:rsidRPr="00D957A6">
              <w:rPr>
                <w:sz w:val="20"/>
                <w:szCs w:val="20"/>
              </w:rPr>
              <w:t xml:space="preserve">3вітність у сфері телекомунікацій оператори, провайдери телекомунікацій подають, як до НКРЗІ за встановленими нею формами, так і до </w:t>
            </w:r>
            <w:proofErr w:type="spellStart"/>
            <w:r w:rsidRPr="00D957A6">
              <w:rPr>
                <w:sz w:val="20"/>
                <w:szCs w:val="20"/>
              </w:rPr>
              <w:t>Держстату</w:t>
            </w:r>
            <w:proofErr w:type="spellEnd"/>
            <w:r w:rsidRPr="00D957A6">
              <w:rPr>
                <w:sz w:val="20"/>
                <w:szCs w:val="20"/>
              </w:rPr>
              <w:t xml:space="preserve"> за Формою № 14-зв’язок.</w:t>
            </w:r>
          </w:p>
        </w:tc>
        <w:tc>
          <w:tcPr>
            <w:tcW w:w="2081" w:type="dxa"/>
          </w:tcPr>
          <w:p w:rsidR="002910F4" w:rsidRPr="00D957A6" w:rsidRDefault="002108A3" w:rsidP="00B14E90">
            <w:pPr>
              <w:pStyle w:val="TableParagraph"/>
              <w:ind w:left="47" w:right="177"/>
              <w:rPr>
                <w:sz w:val="20"/>
                <w:szCs w:val="20"/>
              </w:rPr>
            </w:pPr>
            <w:r w:rsidRPr="00D957A6">
              <w:rPr>
                <w:sz w:val="20"/>
                <w:szCs w:val="20"/>
              </w:rPr>
              <w:t>Введення єдиного порядку збору та подання звітності операторами, провайдерами телекомунікацій до єдиного державного органу</w:t>
            </w:r>
            <w:r w:rsidR="00906851" w:rsidRPr="00D957A6">
              <w:rPr>
                <w:sz w:val="20"/>
                <w:szCs w:val="20"/>
              </w:rPr>
              <w:t xml:space="preserve"> та зменшення кількості звітних періодів</w:t>
            </w:r>
          </w:p>
        </w:tc>
        <w:tc>
          <w:tcPr>
            <w:tcW w:w="2030" w:type="dxa"/>
          </w:tcPr>
          <w:p w:rsidR="002910F4" w:rsidRPr="00D957A6" w:rsidRDefault="002910F4" w:rsidP="00B14E90">
            <w:pPr>
              <w:pStyle w:val="TableParagraph"/>
              <w:ind w:left="47" w:right="177"/>
              <w:rPr>
                <w:sz w:val="20"/>
                <w:szCs w:val="20"/>
              </w:rPr>
            </w:pPr>
          </w:p>
        </w:tc>
        <w:tc>
          <w:tcPr>
            <w:tcW w:w="1585" w:type="dxa"/>
          </w:tcPr>
          <w:p w:rsidR="002910F4" w:rsidRPr="00D957A6" w:rsidRDefault="007419D6" w:rsidP="00B14E90">
            <w:pPr>
              <w:pStyle w:val="TableParagraph"/>
              <w:ind w:left="47" w:right="177"/>
              <w:rPr>
                <w:sz w:val="20"/>
                <w:szCs w:val="20"/>
              </w:rPr>
            </w:pPr>
            <w:r>
              <w:rPr>
                <w:sz w:val="20"/>
                <w:szCs w:val="20"/>
              </w:rPr>
              <w:t>До кінця року</w:t>
            </w:r>
          </w:p>
        </w:tc>
        <w:tc>
          <w:tcPr>
            <w:tcW w:w="2943" w:type="dxa"/>
          </w:tcPr>
          <w:p w:rsidR="002910F4" w:rsidRPr="00D957A6" w:rsidRDefault="002910F4" w:rsidP="00B14E90">
            <w:pPr>
              <w:pStyle w:val="TableParagraph"/>
              <w:ind w:left="47" w:right="177"/>
              <w:rPr>
                <w:sz w:val="20"/>
                <w:szCs w:val="20"/>
              </w:rPr>
            </w:pPr>
            <w:r w:rsidRPr="00D957A6">
              <w:rPr>
                <w:sz w:val="20"/>
                <w:szCs w:val="20"/>
              </w:rPr>
              <w:t>Зменшення кількості людино годин  для складання звітності та контролю за строками їх подання.</w:t>
            </w:r>
          </w:p>
        </w:tc>
      </w:tr>
      <w:tr w:rsidR="00745FF1" w:rsidRPr="00D957A6" w:rsidTr="006E0D54">
        <w:trPr>
          <w:trHeight w:val="376"/>
        </w:trPr>
        <w:tc>
          <w:tcPr>
            <w:tcW w:w="397" w:type="dxa"/>
          </w:tcPr>
          <w:p w:rsidR="00745FF1" w:rsidRPr="00D957A6" w:rsidRDefault="00E66C93" w:rsidP="00B14E90">
            <w:pPr>
              <w:pStyle w:val="TableParagraph"/>
              <w:rPr>
                <w:sz w:val="20"/>
                <w:szCs w:val="20"/>
              </w:rPr>
            </w:pPr>
            <w:r>
              <w:rPr>
                <w:sz w:val="20"/>
                <w:szCs w:val="20"/>
              </w:rPr>
              <w:t>4.</w:t>
            </w:r>
          </w:p>
        </w:tc>
        <w:tc>
          <w:tcPr>
            <w:tcW w:w="1784" w:type="dxa"/>
          </w:tcPr>
          <w:p w:rsidR="00745FF1" w:rsidRPr="00D957A6" w:rsidRDefault="002108A3" w:rsidP="00B14E90">
            <w:pPr>
              <w:pStyle w:val="TableParagraph"/>
              <w:ind w:left="47" w:right="177"/>
              <w:rPr>
                <w:sz w:val="20"/>
                <w:szCs w:val="20"/>
              </w:rPr>
            </w:pPr>
            <w:r w:rsidRPr="00D957A6">
              <w:rPr>
                <w:sz w:val="20"/>
                <w:szCs w:val="20"/>
              </w:rPr>
              <w:t>Необхідність надання первинних документів, як</w:t>
            </w:r>
            <w:r w:rsidR="00742151" w:rsidRPr="00D957A6">
              <w:rPr>
                <w:sz w:val="20"/>
                <w:szCs w:val="20"/>
              </w:rPr>
              <w:t xml:space="preserve">і були поданні при реєстрації, </w:t>
            </w:r>
            <w:r w:rsidRPr="00D957A6">
              <w:rPr>
                <w:sz w:val="20"/>
                <w:szCs w:val="20"/>
              </w:rPr>
              <w:t xml:space="preserve">  надання інформації про своєчасність подання звітності у сфері телекомунікацій  у випадку здійснення перевірок  НКРЗІ </w:t>
            </w:r>
          </w:p>
        </w:tc>
        <w:tc>
          <w:tcPr>
            <w:tcW w:w="2628" w:type="dxa"/>
          </w:tcPr>
          <w:p w:rsidR="00745FF1" w:rsidRPr="00D957A6" w:rsidRDefault="002108A3" w:rsidP="00B14E90">
            <w:pPr>
              <w:pStyle w:val="TableParagraph"/>
              <w:ind w:left="47" w:right="177"/>
              <w:rPr>
                <w:sz w:val="20"/>
                <w:szCs w:val="20"/>
              </w:rPr>
            </w:pPr>
            <w:r w:rsidRPr="00D957A6">
              <w:rPr>
                <w:sz w:val="20"/>
                <w:szCs w:val="20"/>
              </w:rPr>
              <w:t>В контролюючого органу вже є в наявності вся інформація та документи, виникає пит</w:t>
            </w:r>
            <w:r w:rsidR="00211D2E" w:rsidRPr="00D957A6">
              <w:rPr>
                <w:sz w:val="20"/>
                <w:szCs w:val="20"/>
              </w:rPr>
              <w:t xml:space="preserve">ання чому її потрібно дублювати </w:t>
            </w:r>
          </w:p>
        </w:tc>
        <w:tc>
          <w:tcPr>
            <w:tcW w:w="2081" w:type="dxa"/>
          </w:tcPr>
          <w:p w:rsidR="00745FF1" w:rsidRPr="00D957A6" w:rsidRDefault="00211D2E" w:rsidP="00B14E90">
            <w:pPr>
              <w:pStyle w:val="TableParagraph"/>
              <w:ind w:left="47" w:right="177"/>
              <w:rPr>
                <w:sz w:val="20"/>
                <w:szCs w:val="20"/>
              </w:rPr>
            </w:pPr>
            <w:r w:rsidRPr="00D957A6">
              <w:rPr>
                <w:sz w:val="20"/>
                <w:szCs w:val="20"/>
              </w:rPr>
              <w:t>Зменшити  перелік питань та розробити  уніфіковані акти з переліком питань  які затверджуються органом державного нагляду (контролю) та оприлюднюються на його офіційному веб-сайті.</w:t>
            </w:r>
          </w:p>
        </w:tc>
        <w:tc>
          <w:tcPr>
            <w:tcW w:w="2030" w:type="dxa"/>
          </w:tcPr>
          <w:p w:rsidR="00745FF1" w:rsidRPr="00D957A6" w:rsidRDefault="00745FF1" w:rsidP="00B14E90">
            <w:pPr>
              <w:pStyle w:val="TableParagraph"/>
              <w:ind w:left="47" w:right="177"/>
              <w:rPr>
                <w:sz w:val="20"/>
                <w:szCs w:val="20"/>
              </w:rPr>
            </w:pPr>
          </w:p>
        </w:tc>
        <w:tc>
          <w:tcPr>
            <w:tcW w:w="1585" w:type="dxa"/>
          </w:tcPr>
          <w:p w:rsidR="00745FF1" w:rsidRPr="00D957A6" w:rsidRDefault="00745FF1" w:rsidP="00B14E90">
            <w:pPr>
              <w:pStyle w:val="TableParagraph"/>
              <w:ind w:left="47" w:right="177"/>
              <w:rPr>
                <w:sz w:val="20"/>
                <w:szCs w:val="20"/>
              </w:rPr>
            </w:pPr>
          </w:p>
        </w:tc>
        <w:tc>
          <w:tcPr>
            <w:tcW w:w="2943" w:type="dxa"/>
          </w:tcPr>
          <w:p w:rsidR="00745FF1" w:rsidRPr="00D957A6" w:rsidRDefault="00906851" w:rsidP="00B14E90">
            <w:pPr>
              <w:pStyle w:val="TableParagraph"/>
              <w:ind w:left="47" w:right="177"/>
              <w:rPr>
                <w:sz w:val="20"/>
                <w:szCs w:val="20"/>
              </w:rPr>
            </w:pPr>
            <w:r w:rsidRPr="00D957A6">
              <w:rPr>
                <w:sz w:val="20"/>
                <w:szCs w:val="20"/>
              </w:rPr>
              <w:t xml:space="preserve">Зменшить </w:t>
            </w:r>
            <w:r w:rsidR="00D87560" w:rsidRPr="00D957A6">
              <w:rPr>
                <w:sz w:val="20"/>
                <w:szCs w:val="20"/>
              </w:rPr>
              <w:t>строк проведення перевірки</w:t>
            </w:r>
          </w:p>
        </w:tc>
      </w:tr>
      <w:tr w:rsidR="00D87560" w:rsidRPr="007B68D1" w:rsidTr="006E0D54">
        <w:trPr>
          <w:trHeight w:val="376"/>
        </w:trPr>
        <w:tc>
          <w:tcPr>
            <w:tcW w:w="397" w:type="dxa"/>
          </w:tcPr>
          <w:p w:rsidR="00D87560" w:rsidRPr="00D957A6" w:rsidRDefault="00E66C93" w:rsidP="00B14E90">
            <w:pPr>
              <w:pStyle w:val="TableParagraph"/>
              <w:rPr>
                <w:sz w:val="20"/>
                <w:szCs w:val="20"/>
              </w:rPr>
            </w:pPr>
            <w:r>
              <w:rPr>
                <w:sz w:val="20"/>
                <w:szCs w:val="20"/>
              </w:rPr>
              <w:t>5.</w:t>
            </w:r>
          </w:p>
        </w:tc>
        <w:tc>
          <w:tcPr>
            <w:tcW w:w="1784" w:type="dxa"/>
          </w:tcPr>
          <w:p w:rsidR="00D87560" w:rsidRPr="00D957A6" w:rsidRDefault="00906851" w:rsidP="00B14E90">
            <w:pPr>
              <w:pStyle w:val="TableParagraph"/>
              <w:ind w:left="47" w:right="177"/>
              <w:rPr>
                <w:sz w:val="20"/>
                <w:szCs w:val="20"/>
              </w:rPr>
            </w:pPr>
            <w:r w:rsidRPr="00D957A6">
              <w:rPr>
                <w:sz w:val="20"/>
                <w:szCs w:val="20"/>
              </w:rPr>
              <w:t xml:space="preserve">Відсутність персональної </w:t>
            </w:r>
            <w:r w:rsidR="00D87560" w:rsidRPr="00D957A6">
              <w:rPr>
                <w:sz w:val="20"/>
                <w:szCs w:val="20"/>
              </w:rPr>
              <w:t xml:space="preserve">адміністративної </w:t>
            </w:r>
            <w:r w:rsidR="00D87560" w:rsidRPr="00D957A6">
              <w:rPr>
                <w:sz w:val="20"/>
                <w:szCs w:val="20"/>
              </w:rPr>
              <w:lastRenderedPageBreak/>
              <w:t>відповідальності державних службовців за невиконання регуляторних актів та порушення встановлених процедур.</w:t>
            </w:r>
          </w:p>
        </w:tc>
        <w:tc>
          <w:tcPr>
            <w:tcW w:w="2628" w:type="dxa"/>
          </w:tcPr>
          <w:p w:rsidR="00D87560" w:rsidRPr="00D957A6" w:rsidRDefault="00D87560" w:rsidP="00B14E90">
            <w:pPr>
              <w:pStyle w:val="TableParagraph"/>
              <w:ind w:left="47" w:right="177"/>
              <w:rPr>
                <w:sz w:val="20"/>
                <w:szCs w:val="20"/>
              </w:rPr>
            </w:pPr>
          </w:p>
        </w:tc>
        <w:tc>
          <w:tcPr>
            <w:tcW w:w="2081" w:type="dxa"/>
          </w:tcPr>
          <w:p w:rsidR="00D87560" w:rsidRPr="00D957A6" w:rsidRDefault="00D87560" w:rsidP="00B14E90">
            <w:pPr>
              <w:pStyle w:val="TableParagraph"/>
              <w:ind w:left="47" w:right="177"/>
              <w:rPr>
                <w:sz w:val="20"/>
                <w:szCs w:val="20"/>
              </w:rPr>
            </w:pPr>
            <w:r w:rsidRPr="00D957A6">
              <w:rPr>
                <w:sz w:val="20"/>
                <w:szCs w:val="20"/>
              </w:rPr>
              <w:t xml:space="preserve">Встановлення адміністративної відповідальності </w:t>
            </w:r>
            <w:r w:rsidRPr="00D957A6">
              <w:rPr>
                <w:sz w:val="20"/>
                <w:szCs w:val="20"/>
              </w:rPr>
              <w:lastRenderedPageBreak/>
              <w:t>державних службовців за невиконання регуляторних актів та порушення встановлених процедур.</w:t>
            </w:r>
          </w:p>
        </w:tc>
        <w:tc>
          <w:tcPr>
            <w:tcW w:w="2030" w:type="dxa"/>
          </w:tcPr>
          <w:p w:rsidR="00D87560" w:rsidRPr="00D957A6" w:rsidRDefault="00D87560" w:rsidP="00B14E90">
            <w:pPr>
              <w:pStyle w:val="TableParagraph"/>
              <w:ind w:left="47" w:right="177"/>
              <w:rPr>
                <w:sz w:val="20"/>
                <w:szCs w:val="20"/>
              </w:rPr>
            </w:pPr>
          </w:p>
        </w:tc>
        <w:tc>
          <w:tcPr>
            <w:tcW w:w="1585" w:type="dxa"/>
          </w:tcPr>
          <w:p w:rsidR="00D87560" w:rsidRPr="00D957A6" w:rsidRDefault="00D87560" w:rsidP="00B14E90">
            <w:pPr>
              <w:pStyle w:val="TableParagraph"/>
              <w:ind w:left="47" w:right="177"/>
              <w:rPr>
                <w:sz w:val="20"/>
                <w:szCs w:val="20"/>
              </w:rPr>
            </w:pPr>
          </w:p>
        </w:tc>
        <w:tc>
          <w:tcPr>
            <w:tcW w:w="2943" w:type="dxa"/>
          </w:tcPr>
          <w:p w:rsidR="00D87560" w:rsidRPr="00D957A6" w:rsidRDefault="00D87560" w:rsidP="00B14E90">
            <w:pPr>
              <w:pStyle w:val="TableParagraph"/>
              <w:ind w:left="47" w:right="177"/>
              <w:rPr>
                <w:sz w:val="20"/>
                <w:szCs w:val="20"/>
              </w:rPr>
            </w:pPr>
            <w:r w:rsidRPr="00D957A6">
              <w:rPr>
                <w:sz w:val="20"/>
                <w:szCs w:val="20"/>
              </w:rPr>
              <w:t xml:space="preserve">Зменшиться кількість необґрунтованих відмов надання дозвільної </w:t>
            </w:r>
            <w:r w:rsidRPr="00D957A6">
              <w:rPr>
                <w:sz w:val="20"/>
                <w:szCs w:val="20"/>
              </w:rPr>
              <w:lastRenderedPageBreak/>
              <w:t xml:space="preserve">документації, </w:t>
            </w:r>
            <w:r w:rsidR="00906851" w:rsidRPr="00D957A6">
              <w:rPr>
                <w:sz w:val="20"/>
                <w:szCs w:val="20"/>
              </w:rPr>
              <w:t>забезпечить встановлення прозорих, безпечних, доброчесних відносин між бізнесом</w:t>
            </w:r>
            <w:r w:rsidRPr="00D957A6">
              <w:rPr>
                <w:sz w:val="20"/>
                <w:szCs w:val="20"/>
              </w:rPr>
              <w:t xml:space="preserve"> </w:t>
            </w:r>
            <w:r w:rsidR="00906851" w:rsidRPr="00D957A6">
              <w:rPr>
                <w:sz w:val="20"/>
                <w:szCs w:val="20"/>
              </w:rPr>
              <w:t>та державними органами</w:t>
            </w:r>
            <w:r w:rsidRPr="00D957A6">
              <w:rPr>
                <w:sz w:val="20"/>
                <w:szCs w:val="20"/>
              </w:rPr>
              <w:t xml:space="preserve">. </w:t>
            </w:r>
          </w:p>
        </w:tc>
      </w:tr>
      <w:tr w:rsidR="00D9057D" w:rsidRPr="007B68D1" w:rsidTr="006E0D54">
        <w:trPr>
          <w:trHeight w:val="376"/>
        </w:trPr>
        <w:tc>
          <w:tcPr>
            <w:tcW w:w="397" w:type="dxa"/>
          </w:tcPr>
          <w:p w:rsidR="00D9057D" w:rsidRPr="00D957A6" w:rsidRDefault="00E66C93" w:rsidP="00B14E90">
            <w:pPr>
              <w:pStyle w:val="TableParagraph"/>
              <w:rPr>
                <w:sz w:val="20"/>
                <w:szCs w:val="20"/>
              </w:rPr>
            </w:pPr>
            <w:r>
              <w:rPr>
                <w:sz w:val="20"/>
                <w:szCs w:val="20"/>
              </w:rPr>
              <w:lastRenderedPageBreak/>
              <w:t>6.</w:t>
            </w:r>
          </w:p>
        </w:tc>
        <w:tc>
          <w:tcPr>
            <w:tcW w:w="1784" w:type="dxa"/>
          </w:tcPr>
          <w:p w:rsidR="00D9057D" w:rsidRPr="00D957A6" w:rsidRDefault="00D9057D" w:rsidP="00B14E90">
            <w:pPr>
              <w:pStyle w:val="TableParagraph"/>
              <w:ind w:left="47" w:right="177"/>
              <w:rPr>
                <w:sz w:val="20"/>
                <w:szCs w:val="20"/>
              </w:rPr>
            </w:pPr>
            <w:r w:rsidRPr="00D957A6">
              <w:rPr>
                <w:sz w:val="20"/>
                <w:szCs w:val="20"/>
              </w:rPr>
              <w:t>Обмеження доступу до елементів інфраструктури будинків, об’єктів електроенергетики, тощо для розміщення телекомунікаційного обладнання</w:t>
            </w:r>
          </w:p>
        </w:tc>
        <w:tc>
          <w:tcPr>
            <w:tcW w:w="2628" w:type="dxa"/>
          </w:tcPr>
          <w:p w:rsidR="00D9057D" w:rsidRPr="00D957A6" w:rsidRDefault="00D9057D" w:rsidP="00B14E90">
            <w:pPr>
              <w:pStyle w:val="TableParagraph"/>
              <w:ind w:left="47" w:right="177"/>
              <w:rPr>
                <w:sz w:val="20"/>
                <w:szCs w:val="20"/>
              </w:rPr>
            </w:pPr>
            <w:r w:rsidRPr="00D957A6">
              <w:rPr>
                <w:sz w:val="20"/>
                <w:szCs w:val="20"/>
              </w:rPr>
              <w:t>1.Відсутність відповідальності Власників (володільців) об’єктів доступу.</w:t>
            </w:r>
          </w:p>
          <w:p w:rsidR="00D9057D" w:rsidRPr="00D957A6" w:rsidRDefault="00D9057D" w:rsidP="00B14E90">
            <w:pPr>
              <w:pStyle w:val="TableParagraph"/>
              <w:ind w:left="47" w:right="177"/>
              <w:rPr>
                <w:sz w:val="20"/>
                <w:szCs w:val="20"/>
              </w:rPr>
            </w:pPr>
            <w:r w:rsidRPr="00D957A6">
              <w:rPr>
                <w:sz w:val="20"/>
                <w:szCs w:val="20"/>
              </w:rPr>
              <w:t xml:space="preserve">2. Переукладення договорів з доступу в будинках, де </w:t>
            </w:r>
            <w:proofErr w:type="spellStart"/>
            <w:r w:rsidRPr="00D957A6">
              <w:rPr>
                <w:sz w:val="20"/>
                <w:szCs w:val="20"/>
              </w:rPr>
              <w:t>телекоммережі</w:t>
            </w:r>
            <w:proofErr w:type="spellEnd"/>
            <w:r w:rsidRPr="00D957A6">
              <w:rPr>
                <w:sz w:val="20"/>
                <w:szCs w:val="20"/>
              </w:rPr>
              <w:t xml:space="preserve"> розташовані і експлуатуються .</w:t>
            </w:r>
          </w:p>
          <w:p w:rsidR="00D9057D" w:rsidRPr="00D957A6" w:rsidRDefault="00D9057D" w:rsidP="00B14E90">
            <w:pPr>
              <w:pStyle w:val="TableParagraph"/>
              <w:ind w:left="47" w:right="177"/>
              <w:rPr>
                <w:sz w:val="20"/>
                <w:szCs w:val="20"/>
              </w:rPr>
            </w:pPr>
            <w:r w:rsidRPr="00D957A6">
              <w:rPr>
                <w:sz w:val="20"/>
                <w:szCs w:val="20"/>
              </w:rPr>
              <w:t>3. Єдиний підхід у визначені плати за доступ до елементів інфраструктури будинків, електроенергетики, розподіл витрат Власника (володільця) між всіма Замовниками, що використовують інфраструктуру</w:t>
            </w:r>
          </w:p>
        </w:tc>
        <w:tc>
          <w:tcPr>
            <w:tcW w:w="2081" w:type="dxa"/>
          </w:tcPr>
          <w:p w:rsidR="00D9057D" w:rsidRPr="00D957A6" w:rsidRDefault="00D9057D" w:rsidP="00B14E90">
            <w:pPr>
              <w:pStyle w:val="TableParagraph"/>
              <w:ind w:left="47" w:right="177"/>
              <w:rPr>
                <w:sz w:val="20"/>
                <w:szCs w:val="20"/>
              </w:rPr>
            </w:pPr>
            <w:r w:rsidRPr="00D957A6">
              <w:rPr>
                <w:sz w:val="20"/>
                <w:szCs w:val="20"/>
              </w:rPr>
              <w:t xml:space="preserve">Внесення змін в Закон України «Про доступ до </w:t>
            </w:r>
            <w:r w:rsidRPr="00D957A6">
              <w:rPr>
                <w:bCs/>
                <w:sz w:val="20"/>
                <w:szCs w:val="20"/>
                <w:shd w:val="clear" w:color="auto" w:fill="FFFFFF"/>
              </w:rPr>
              <w:t>об’єктів будівництва, транспорту, електроенергетики з метою розвитку телекомунікаційних мереж»</w:t>
            </w:r>
          </w:p>
        </w:tc>
        <w:tc>
          <w:tcPr>
            <w:tcW w:w="2030" w:type="dxa"/>
          </w:tcPr>
          <w:p w:rsidR="00D9057D" w:rsidRPr="00D957A6" w:rsidRDefault="00D9057D" w:rsidP="00B14E90">
            <w:pPr>
              <w:pStyle w:val="TableParagraph"/>
              <w:ind w:left="47" w:right="177"/>
              <w:rPr>
                <w:sz w:val="20"/>
                <w:szCs w:val="20"/>
              </w:rPr>
            </w:pPr>
            <w:proofErr w:type="spellStart"/>
            <w:r w:rsidRPr="00D957A6">
              <w:rPr>
                <w:sz w:val="20"/>
                <w:szCs w:val="20"/>
              </w:rPr>
              <w:t>Мінрегіон</w:t>
            </w:r>
            <w:proofErr w:type="spellEnd"/>
          </w:p>
          <w:p w:rsidR="00D9057D" w:rsidRPr="00D957A6" w:rsidRDefault="00D9057D" w:rsidP="00B14E90">
            <w:pPr>
              <w:pStyle w:val="TableParagraph"/>
              <w:ind w:left="47" w:right="177"/>
              <w:rPr>
                <w:sz w:val="20"/>
                <w:szCs w:val="20"/>
              </w:rPr>
            </w:pPr>
            <w:r w:rsidRPr="00D957A6">
              <w:rPr>
                <w:sz w:val="20"/>
                <w:szCs w:val="20"/>
              </w:rPr>
              <w:t>НКРЗІ</w:t>
            </w:r>
          </w:p>
        </w:tc>
        <w:tc>
          <w:tcPr>
            <w:tcW w:w="1585" w:type="dxa"/>
          </w:tcPr>
          <w:p w:rsidR="00D9057D" w:rsidRPr="00D957A6" w:rsidRDefault="00D9057D" w:rsidP="00B14E90">
            <w:pPr>
              <w:pStyle w:val="TableParagraph"/>
              <w:ind w:left="47" w:right="177"/>
              <w:rPr>
                <w:sz w:val="20"/>
                <w:szCs w:val="20"/>
              </w:rPr>
            </w:pPr>
            <w:r w:rsidRPr="00D957A6">
              <w:rPr>
                <w:sz w:val="20"/>
                <w:szCs w:val="20"/>
              </w:rPr>
              <w:t>2019-2020рр</w:t>
            </w:r>
          </w:p>
        </w:tc>
        <w:tc>
          <w:tcPr>
            <w:tcW w:w="2943" w:type="dxa"/>
          </w:tcPr>
          <w:p w:rsidR="00D9057D" w:rsidRPr="00D957A6" w:rsidRDefault="00D9057D" w:rsidP="00B14E90">
            <w:pPr>
              <w:pStyle w:val="TableParagraph"/>
              <w:ind w:left="47" w:right="177"/>
              <w:rPr>
                <w:sz w:val="20"/>
                <w:szCs w:val="20"/>
              </w:rPr>
            </w:pPr>
            <w:r w:rsidRPr="00D957A6">
              <w:rPr>
                <w:sz w:val="20"/>
                <w:szCs w:val="20"/>
              </w:rPr>
              <w:t xml:space="preserve">Висока/розвиток інформаційних технологій, забезпечення достатнього рівня </w:t>
            </w:r>
            <w:proofErr w:type="spellStart"/>
            <w:r w:rsidRPr="00D957A6">
              <w:rPr>
                <w:sz w:val="20"/>
                <w:szCs w:val="20"/>
              </w:rPr>
              <w:t>цифровізація</w:t>
            </w:r>
            <w:proofErr w:type="spellEnd"/>
            <w:r w:rsidRPr="00D957A6">
              <w:rPr>
                <w:sz w:val="20"/>
                <w:szCs w:val="20"/>
              </w:rPr>
              <w:t xml:space="preserve"> країни</w:t>
            </w:r>
          </w:p>
        </w:tc>
      </w:tr>
      <w:tr w:rsidR="00D9057D" w:rsidRPr="007B68D1" w:rsidTr="006E0D54">
        <w:trPr>
          <w:trHeight w:val="376"/>
        </w:trPr>
        <w:tc>
          <w:tcPr>
            <w:tcW w:w="397" w:type="dxa"/>
          </w:tcPr>
          <w:p w:rsidR="00D9057D" w:rsidRPr="00D957A6" w:rsidRDefault="00E66C93" w:rsidP="00B14E90">
            <w:pPr>
              <w:pStyle w:val="TableParagraph"/>
              <w:rPr>
                <w:sz w:val="20"/>
                <w:szCs w:val="20"/>
              </w:rPr>
            </w:pPr>
            <w:r>
              <w:rPr>
                <w:sz w:val="20"/>
                <w:szCs w:val="20"/>
              </w:rPr>
              <w:t>7.</w:t>
            </w:r>
          </w:p>
        </w:tc>
        <w:tc>
          <w:tcPr>
            <w:tcW w:w="1784" w:type="dxa"/>
          </w:tcPr>
          <w:p w:rsidR="00D9057D" w:rsidRPr="00D957A6" w:rsidRDefault="00D9057D" w:rsidP="00B14E90">
            <w:pPr>
              <w:pStyle w:val="TableParagraph"/>
              <w:ind w:left="47" w:right="177"/>
              <w:rPr>
                <w:sz w:val="20"/>
                <w:szCs w:val="20"/>
              </w:rPr>
            </w:pPr>
            <w:r w:rsidRPr="00D957A6">
              <w:rPr>
                <w:sz w:val="20"/>
                <w:szCs w:val="20"/>
              </w:rPr>
              <w:t>Спірна норма , що неоднозначно трактується ДФС, судами і платниками податків при перевірках і винесенню ППР щодо порушення платниками ПДВ граничного строку реєстрації ПН та/або РК до такої ПН в ЄРПН</w:t>
            </w:r>
          </w:p>
        </w:tc>
        <w:tc>
          <w:tcPr>
            <w:tcW w:w="2628" w:type="dxa"/>
          </w:tcPr>
          <w:p w:rsidR="00D9057D" w:rsidRPr="00D957A6" w:rsidRDefault="00D9057D" w:rsidP="00B14E90">
            <w:pPr>
              <w:spacing w:after="0" w:line="240" w:lineRule="auto"/>
              <w:ind w:left="47" w:right="177"/>
              <w:jc w:val="both"/>
              <w:rPr>
                <w:rFonts w:ascii="Times New Roman" w:hAnsi="Times New Roman" w:cs="Times New Roman"/>
                <w:sz w:val="20"/>
                <w:szCs w:val="20"/>
                <w:lang w:val="uk-UA"/>
              </w:rPr>
            </w:pPr>
            <w:r w:rsidRPr="00D957A6">
              <w:rPr>
                <w:rFonts w:ascii="Times New Roman" w:hAnsi="Times New Roman" w:cs="Times New Roman"/>
                <w:sz w:val="20"/>
                <w:szCs w:val="20"/>
                <w:lang w:val="uk-UA"/>
              </w:rPr>
              <w:t>Не правомірне застосування ДФС штрафів, що застосовуються на підставі п.120</w:t>
            </w:r>
            <w:r w:rsidRPr="00D957A6">
              <w:rPr>
                <w:rFonts w:ascii="Times New Roman" w:hAnsi="Times New Roman" w:cs="Times New Roman"/>
                <w:sz w:val="20"/>
                <w:szCs w:val="20"/>
                <w:vertAlign w:val="superscript"/>
                <w:lang w:val="uk-UA"/>
              </w:rPr>
              <w:t>1</w:t>
            </w:r>
            <w:r w:rsidRPr="00D957A6">
              <w:rPr>
                <w:rFonts w:ascii="Times New Roman" w:hAnsi="Times New Roman" w:cs="Times New Roman"/>
                <w:sz w:val="20"/>
                <w:szCs w:val="20"/>
                <w:lang w:val="uk-UA"/>
              </w:rPr>
              <w:t>.1 ст.120</w:t>
            </w:r>
            <w:r w:rsidRPr="00D957A6">
              <w:rPr>
                <w:rFonts w:ascii="Times New Roman" w:hAnsi="Times New Roman" w:cs="Times New Roman"/>
                <w:sz w:val="20"/>
                <w:szCs w:val="20"/>
                <w:vertAlign w:val="superscript"/>
                <w:lang w:val="uk-UA"/>
              </w:rPr>
              <w:t>1</w:t>
            </w:r>
            <w:r w:rsidRPr="00D957A6">
              <w:rPr>
                <w:rFonts w:ascii="Times New Roman" w:hAnsi="Times New Roman" w:cs="Times New Roman"/>
                <w:sz w:val="20"/>
                <w:szCs w:val="20"/>
                <w:lang w:val="uk-UA"/>
              </w:rPr>
              <w:t xml:space="preserve"> ПКУ до платників податків за несвоєчасну реєстрацію податкових накладних, що не надаються покупцю.</w:t>
            </w:r>
          </w:p>
          <w:p w:rsidR="00D9057D" w:rsidRPr="00D957A6" w:rsidRDefault="00D9057D" w:rsidP="00B14E90">
            <w:pPr>
              <w:spacing w:after="0" w:line="240" w:lineRule="auto"/>
              <w:ind w:left="47" w:right="177"/>
              <w:jc w:val="both"/>
              <w:rPr>
                <w:rFonts w:ascii="Times New Roman" w:hAnsi="Times New Roman" w:cs="Times New Roman"/>
                <w:sz w:val="20"/>
                <w:szCs w:val="20"/>
                <w:lang w:val="uk-UA"/>
              </w:rPr>
            </w:pPr>
            <w:r w:rsidRPr="00D957A6">
              <w:rPr>
                <w:rFonts w:ascii="Times New Roman" w:hAnsi="Times New Roman" w:cs="Times New Roman"/>
                <w:sz w:val="20"/>
                <w:szCs w:val="20"/>
                <w:lang w:val="uk-UA"/>
              </w:rPr>
              <w:t xml:space="preserve">накладення штрафних санкцій у зв’язку з несвоєчасною реєстрацію податкових накладних та розрахунків коригувань до них, що не надаються отримувачу, є неправомірним та </w:t>
            </w:r>
            <w:r w:rsidRPr="00D957A6">
              <w:rPr>
                <w:rFonts w:ascii="Times New Roman" w:hAnsi="Times New Roman" w:cs="Times New Roman"/>
                <w:sz w:val="20"/>
                <w:szCs w:val="20"/>
                <w:lang w:val="uk-UA"/>
              </w:rPr>
              <w:lastRenderedPageBreak/>
              <w:t xml:space="preserve">суперечить основним засадам податкового законодавства України та нормам міжнародного права, а розмір таких штрафів є </w:t>
            </w:r>
            <w:proofErr w:type="spellStart"/>
            <w:r w:rsidRPr="00D957A6">
              <w:rPr>
                <w:rFonts w:ascii="Times New Roman" w:hAnsi="Times New Roman" w:cs="Times New Roman"/>
                <w:sz w:val="20"/>
                <w:szCs w:val="20"/>
                <w:lang w:val="uk-UA"/>
              </w:rPr>
              <w:t>неспіврозмірним</w:t>
            </w:r>
            <w:proofErr w:type="spellEnd"/>
            <w:r w:rsidRPr="00D957A6">
              <w:rPr>
                <w:rFonts w:ascii="Times New Roman" w:hAnsi="Times New Roman" w:cs="Times New Roman"/>
                <w:sz w:val="20"/>
                <w:szCs w:val="20"/>
                <w:lang w:val="uk-UA"/>
              </w:rPr>
              <w:t xml:space="preserve"> тяжкості самого правопорушення, його наслідків..</w:t>
            </w:r>
          </w:p>
          <w:p w:rsidR="00D9057D" w:rsidRPr="00D957A6" w:rsidRDefault="00D9057D" w:rsidP="00B14E90">
            <w:pPr>
              <w:spacing w:after="0" w:line="240" w:lineRule="auto"/>
              <w:ind w:left="47" w:right="177"/>
              <w:jc w:val="both"/>
              <w:rPr>
                <w:rFonts w:ascii="Times New Roman" w:hAnsi="Times New Roman" w:cs="Times New Roman"/>
                <w:sz w:val="20"/>
                <w:szCs w:val="20"/>
                <w:lang w:val="uk-UA"/>
              </w:rPr>
            </w:pPr>
          </w:p>
          <w:p w:rsidR="00D9057D" w:rsidRPr="00D957A6" w:rsidRDefault="00D9057D" w:rsidP="00B14E90">
            <w:pPr>
              <w:spacing w:after="0" w:line="240" w:lineRule="auto"/>
              <w:ind w:left="47" w:right="177"/>
              <w:jc w:val="both"/>
              <w:rPr>
                <w:rFonts w:ascii="Times New Roman" w:hAnsi="Times New Roman" w:cs="Times New Roman"/>
                <w:sz w:val="20"/>
                <w:szCs w:val="20"/>
                <w:lang w:val="uk-UA"/>
              </w:rPr>
            </w:pPr>
            <w:r w:rsidRPr="00D957A6">
              <w:rPr>
                <w:rFonts w:ascii="Times New Roman" w:hAnsi="Times New Roman" w:cs="Times New Roman"/>
                <w:sz w:val="20"/>
                <w:szCs w:val="20"/>
                <w:lang w:val="uk-UA"/>
              </w:rPr>
              <w:t xml:space="preserve"> </w:t>
            </w:r>
          </w:p>
          <w:p w:rsidR="00D9057D" w:rsidRPr="00D957A6" w:rsidRDefault="00D9057D" w:rsidP="00B14E90">
            <w:pPr>
              <w:pStyle w:val="TableParagraph"/>
              <w:ind w:left="47" w:right="177"/>
              <w:rPr>
                <w:sz w:val="20"/>
                <w:szCs w:val="20"/>
              </w:rPr>
            </w:pPr>
          </w:p>
        </w:tc>
        <w:tc>
          <w:tcPr>
            <w:tcW w:w="2081" w:type="dxa"/>
          </w:tcPr>
          <w:p w:rsidR="00D9057D" w:rsidRPr="00D957A6" w:rsidRDefault="00D9057D" w:rsidP="00B14E90">
            <w:pPr>
              <w:pStyle w:val="TableParagraph"/>
              <w:ind w:left="47" w:right="177"/>
              <w:rPr>
                <w:sz w:val="20"/>
                <w:szCs w:val="20"/>
              </w:rPr>
            </w:pPr>
            <w:r w:rsidRPr="00D957A6">
              <w:rPr>
                <w:sz w:val="20"/>
                <w:szCs w:val="20"/>
              </w:rPr>
              <w:lastRenderedPageBreak/>
              <w:t>Внесення змін до ПКУ</w:t>
            </w:r>
          </w:p>
        </w:tc>
        <w:tc>
          <w:tcPr>
            <w:tcW w:w="2030" w:type="dxa"/>
          </w:tcPr>
          <w:p w:rsidR="00D9057D" w:rsidRPr="00D957A6" w:rsidRDefault="00D9057D" w:rsidP="00B14E90">
            <w:pPr>
              <w:pStyle w:val="TableParagraph"/>
              <w:ind w:left="47" w:right="177"/>
              <w:rPr>
                <w:sz w:val="20"/>
                <w:szCs w:val="20"/>
              </w:rPr>
            </w:pPr>
            <w:r w:rsidRPr="00D957A6">
              <w:rPr>
                <w:sz w:val="20"/>
                <w:szCs w:val="20"/>
              </w:rPr>
              <w:t>Мінфін</w:t>
            </w:r>
          </w:p>
        </w:tc>
        <w:tc>
          <w:tcPr>
            <w:tcW w:w="1585" w:type="dxa"/>
          </w:tcPr>
          <w:p w:rsidR="00D9057D" w:rsidRPr="00D957A6" w:rsidRDefault="00D9057D" w:rsidP="00B14E90">
            <w:pPr>
              <w:pStyle w:val="TableParagraph"/>
              <w:ind w:left="47" w:right="177"/>
              <w:rPr>
                <w:sz w:val="20"/>
                <w:szCs w:val="20"/>
              </w:rPr>
            </w:pPr>
            <w:r w:rsidRPr="00D957A6">
              <w:rPr>
                <w:sz w:val="20"/>
                <w:szCs w:val="20"/>
              </w:rPr>
              <w:t>2019-2020рр</w:t>
            </w:r>
          </w:p>
        </w:tc>
        <w:tc>
          <w:tcPr>
            <w:tcW w:w="2943" w:type="dxa"/>
          </w:tcPr>
          <w:p w:rsidR="00D9057D" w:rsidRPr="00D957A6" w:rsidRDefault="00D9057D" w:rsidP="00B14E90">
            <w:pPr>
              <w:pStyle w:val="TableParagraph"/>
              <w:ind w:left="47" w:right="177"/>
              <w:rPr>
                <w:sz w:val="20"/>
                <w:szCs w:val="20"/>
              </w:rPr>
            </w:pPr>
            <w:r w:rsidRPr="00D957A6">
              <w:rPr>
                <w:sz w:val="20"/>
                <w:szCs w:val="20"/>
              </w:rPr>
              <w:t xml:space="preserve">Висока/підвищення рівня зовнішньоекономічної діяльності, покращення </w:t>
            </w:r>
            <w:proofErr w:type="spellStart"/>
            <w:r w:rsidRPr="00D957A6">
              <w:rPr>
                <w:sz w:val="20"/>
                <w:szCs w:val="20"/>
              </w:rPr>
              <w:t>інвестклімату</w:t>
            </w:r>
            <w:proofErr w:type="spellEnd"/>
          </w:p>
        </w:tc>
      </w:tr>
      <w:tr w:rsidR="00D9057D" w:rsidRPr="007B68D1" w:rsidTr="006E0D54">
        <w:trPr>
          <w:trHeight w:val="376"/>
        </w:trPr>
        <w:tc>
          <w:tcPr>
            <w:tcW w:w="397" w:type="dxa"/>
          </w:tcPr>
          <w:p w:rsidR="00D9057D" w:rsidRPr="00D957A6" w:rsidRDefault="00E66C93" w:rsidP="00B14E90">
            <w:pPr>
              <w:pStyle w:val="TableParagraph"/>
              <w:rPr>
                <w:sz w:val="20"/>
                <w:szCs w:val="20"/>
              </w:rPr>
            </w:pPr>
            <w:r>
              <w:rPr>
                <w:sz w:val="20"/>
                <w:szCs w:val="20"/>
              </w:rPr>
              <w:t>8.</w:t>
            </w:r>
          </w:p>
        </w:tc>
        <w:tc>
          <w:tcPr>
            <w:tcW w:w="1784" w:type="dxa"/>
          </w:tcPr>
          <w:p w:rsidR="00D9057D" w:rsidRPr="00D957A6" w:rsidRDefault="00D9057D" w:rsidP="00B14E90">
            <w:pPr>
              <w:pStyle w:val="TableParagraph"/>
              <w:ind w:left="47" w:right="177"/>
              <w:rPr>
                <w:sz w:val="20"/>
                <w:szCs w:val="20"/>
              </w:rPr>
            </w:pPr>
            <w:r w:rsidRPr="00D957A6">
              <w:rPr>
                <w:sz w:val="20"/>
                <w:szCs w:val="20"/>
              </w:rPr>
              <w:t>Звітність операторів, провайдерів телекомунікаційних послуг</w:t>
            </w:r>
          </w:p>
        </w:tc>
        <w:tc>
          <w:tcPr>
            <w:tcW w:w="2628" w:type="dxa"/>
          </w:tcPr>
          <w:p w:rsidR="00D9057D" w:rsidRPr="00D957A6" w:rsidRDefault="00D9057D" w:rsidP="00B14E90">
            <w:pPr>
              <w:pStyle w:val="TableParagraph"/>
              <w:ind w:left="47" w:right="177"/>
              <w:rPr>
                <w:sz w:val="20"/>
                <w:szCs w:val="20"/>
              </w:rPr>
            </w:pPr>
            <w:r w:rsidRPr="00D957A6">
              <w:rPr>
                <w:rStyle w:val="a3"/>
                <w:b w:val="0"/>
                <w:color w:val="000000" w:themeColor="text1"/>
                <w:sz w:val="20"/>
                <w:szCs w:val="20"/>
                <w:shd w:val="clear" w:color="auto" w:fill="FFFFFF"/>
              </w:rPr>
              <w:t>Подання звітів </w:t>
            </w:r>
            <w:r w:rsidRPr="00D957A6">
              <w:rPr>
                <w:color w:val="000000" w:themeColor="text1"/>
                <w:sz w:val="20"/>
                <w:szCs w:val="20"/>
                <w:shd w:val="clear" w:color="auto" w:fill="FFFFFF"/>
              </w:rPr>
              <w:t>операторами, провайдерами телекомунікацій</w:t>
            </w:r>
            <w:r w:rsidRPr="00D957A6">
              <w:rPr>
                <w:rStyle w:val="a3"/>
                <w:b w:val="0"/>
                <w:color w:val="000000" w:themeColor="text1"/>
                <w:sz w:val="20"/>
                <w:szCs w:val="20"/>
                <w:shd w:val="clear" w:color="auto" w:fill="FFFFFF"/>
              </w:rPr>
              <w:t> щоквартально</w:t>
            </w:r>
          </w:p>
        </w:tc>
        <w:tc>
          <w:tcPr>
            <w:tcW w:w="2081" w:type="dxa"/>
          </w:tcPr>
          <w:p w:rsidR="00D9057D" w:rsidRPr="00D957A6" w:rsidRDefault="00D9057D" w:rsidP="00B14E90">
            <w:pPr>
              <w:pStyle w:val="TableParagraph"/>
              <w:ind w:left="47" w:right="177"/>
              <w:rPr>
                <w:sz w:val="20"/>
                <w:szCs w:val="20"/>
              </w:rPr>
            </w:pPr>
            <w:r w:rsidRPr="00D957A6">
              <w:rPr>
                <w:sz w:val="20"/>
                <w:szCs w:val="20"/>
              </w:rPr>
              <w:t>Звітування лише раз на рік</w:t>
            </w:r>
          </w:p>
        </w:tc>
        <w:tc>
          <w:tcPr>
            <w:tcW w:w="2030" w:type="dxa"/>
          </w:tcPr>
          <w:p w:rsidR="00D9057D" w:rsidRPr="00D957A6" w:rsidRDefault="00D9057D" w:rsidP="00B14E90">
            <w:pPr>
              <w:pStyle w:val="TableParagraph"/>
              <w:ind w:left="47" w:right="177"/>
              <w:rPr>
                <w:sz w:val="20"/>
                <w:szCs w:val="20"/>
              </w:rPr>
            </w:pPr>
            <w:r w:rsidRPr="00D957A6">
              <w:rPr>
                <w:sz w:val="20"/>
                <w:szCs w:val="20"/>
              </w:rPr>
              <w:t>НКРЗІ</w:t>
            </w:r>
          </w:p>
        </w:tc>
        <w:tc>
          <w:tcPr>
            <w:tcW w:w="1585" w:type="dxa"/>
          </w:tcPr>
          <w:p w:rsidR="00D9057D" w:rsidRPr="00D957A6" w:rsidRDefault="00D9057D" w:rsidP="00B14E90">
            <w:pPr>
              <w:pStyle w:val="TableParagraph"/>
              <w:ind w:left="47" w:right="177"/>
              <w:rPr>
                <w:sz w:val="20"/>
                <w:szCs w:val="20"/>
              </w:rPr>
            </w:pPr>
          </w:p>
        </w:tc>
        <w:tc>
          <w:tcPr>
            <w:tcW w:w="2943" w:type="dxa"/>
          </w:tcPr>
          <w:p w:rsidR="00D9057D" w:rsidRPr="00D957A6" w:rsidRDefault="00D9057D" w:rsidP="00B14E90">
            <w:pPr>
              <w:pStyle w:val="TableParagraph"/>
              <w:ind w:left="47" w:right="177"/>
              <w:rPr>
                <w:sz w:val="20"/>
                <w:szCs w:val="20"/>
              </w:rPr>
            </w:pPr>
            <w:r w:rsidRPr="00D957A6">
              <w:rPr>
                <w:sz w:val="20"/>
                <w:szCs w:val="20"/>
              </w:rPr>
              <w:t>Зосередження на якості послуг, зменшення бюрократичного тиску на суб’єкт господарювання, загальна зручність у збиранні, обробці та наданні звітної інформації</w:t>
            </w:r>
          </w:p>
        </w:tc>
      </w:tr>
      <w:tr w:rsidR="00D9057D" w:rsidRPr="007B68D1" w:rsidTr="006E0D54">
        <w:trPr>
          <w:trHeight w:val="376"/>
        </w:trPr>
        <w:tc>
          <w:tcPr>
            <w:tcW w:w="397" w:type="dxa"/>
          </w:tcPr>
          <w:p w:rsidR="00D9057D" w:rsidRPr="00D957A6" w:rsidRDefault="00E66C93" w:rsidP="00B14E90">
            <w:pPr>
              <w:pStyle w:val="TableParagraph"/>
              <w:rPr>
                <w:sz w:val="20"/>
                <w:szCs w:val="20"/>
              </w:rPr>
            </w:pPr>
            <w:r>
              <w:rPr>
                <w:sz w:val="20"/>
                <w:szCs w:val="20"/>
              </w:rPr>
              <w:t>9.</w:t>
            </w:r>
          </w:p>
        </w:tc>
        <w:tc>
          <w:tcPr>
            <w:tcW w:w="1784" w:type="dxa"/>
          </w:tcPr>
          <w:p w:rsidR="00D9057D" w:rsidRPr="00D957A6" w:rsidRDefault="00D9057D" w:rsidP="00B14E90">
            <w:pPr>
              <w:pStyle w:val="TableParagraph"/>
              <w:ind w:left="47" w:right="177"/>
              <w:rPr>
                <w:sz w:val="20"/>
                <w:szCs w:val="20"/>
              </w:rPr>
            </w:pPr>
            <w:r w:rsidRPr="00D957A6">
              <w:rPr>
                <w:color w:val="000000" w:themeColor="text1"/>
                <w:sz w:val="20"/>
                <w:szCs w:val="20"/>
                <w:shd w:val="clear" w:color="auto" w:fill="FFFFFF"/>
              </w:rPr>
              <w:t>Скорочення переліку видів робіт і робочого обладнання, що потребують отримання дозволу</w:t>
            </w:r>
          </w:p>
        </w:tc>
        <w:tc>
          <w:tcPr>
            <w:tcW w:w="2628" w:type="dxa"/>
          </w:tcPr>
          <w:p w:rsidR="00D9057D" w:rsidRPr="00D957A6" w:rsidRDefault="00D9057D" w:rsidP="00B14E90">
            <w:pPr>
              <w:pStyle w:val="TableParagraph"/>
              <w:ind w:left="47" w:right="177"/>
              <w:rPr>
                <w:bCs/>
                <w:color w:val="000000" w:themeColor="text1"/>
                <w:sz w:val="20"/>
                <w:szCs w:val="20"/>
                <w:shd w:val="clear" w:color="auto" w:fill="FFFFFF"/>
              </w:rPr>
            </w:pPr>
            <w:r w:rsidRPr="00D957A6">
              <w:rPr>
                <w:sz w:val="20"/>
                <w:szCs w:val="20"/>
              </w:rPr>
              <w:t>Надмірні вимоги щодо отримання дозволів на робоче обладнання, види робіт</w:t>
            </w:r>
          </w:p>
        </w:tc>
        <w:tc>
          <w:tcPr>
            <w:tcW w:w="2081" w:type="dxa"/>
          </w:tcPr>
          <w:p w:rsidR="00D9057D" w:rsidRPr="00D957A6" w:rsidRDefault="00D9057D" w:rsidP="00B14E90">
            <w:pPr>
              <w:pStyle w:val="TableParagraph"/>
              <w:ind w:left="47" w:right="177"/>
              <w:rPr>
                <w:sz w:val="20"/>
                <w:szCs w:val="20"/>
              </w:rPr>
            </w:pPr>
            <w:r w:rsidRPr="00D957A6">
              <w:rPr>
                <w:sz w:val="20"/>
                <w:szCs w:val="20"/>
              </w:rPr>
              <w:t>Висування єдиних вимог щодо справності обладнання та його безпеки. Розмежування окремих видів робіт, які можуть мати ознаки, що притаманні ліцензованій діяльності</w:t>
            </w:r>
          </w:p>
        </w:tc>
        <w:tc>
          <w:tcPr>
            <w:tcW w:w="2030" w:type="dxa"/>
          </w:tcPr>
          <w:p w:rsidR="00D9057D" w:rsidRPr="00D957A6" w:rsidRDefault="00D9057D" w:rsidP="00B14E90">
            <w:pPr>
              <w:pStyle w:val="TableParagraph"/>
              <w:ind w:left="47" w:right="177"/>
              <w:rPr>
                <w:sz w:val="20"/>
                <w:szCs w:val="20"/>
              </w:rPr>
            </w:pPr>
            <w:proofErr w:type="spellStart"/>
            <w:r w:rsidRPr="00D957A6">
              <w:rPr>
                <w:sz w:val="20"/>
                <w:szCs w:val="20"/>
              </w:rPr>
              <w:t>Держпраці</w:t>
            </w:r>
            <w:proofErr w:type="spellEnd"/>
          </w:p>
        </w:tc>
        <w:tc>
          <w:tcPr>
            <w:tcW w:w="1585" w:type="dxa"/>
          </w:tcPr>
          <w:p w:rsidR="00D9057D" w:rsidRPr="00D957A6" w:rsidRDefault="00D9057D" w:rsidP="00B14E90">
            <w:pPr>
              <w:pStyle w:val="TableParagraph"/>
              <w:ind w:left="47" w:right="177"/>
              <w:rPr>
                <w:sz w:val="20"/>
                <w:szCs w:val="20"/>
              </w:rPr>
            </w:pPr>
          </w:p>
        </w:tc>
        <w:tc>
          <w:tcPr>
            <w:tcW w:w="2943" w:type="dxa"/>
          </w:tcPr>
          <w:p w:rsidR="00D9057D" w:rsidRPr="00D957A6" w:rsidRDefault="00D9057D" w:rsidP="00B14E90">
            <w:pPr>
              <w:pStyle w:val="TableParagraph"/>
              <w:ind w:left="47" w:right="177"/>
              <w:rPr>
                <w:sz w:val="20"/>
                <w:szCs w:val="20"/>
              </w:rPr>
            </w:pPr>
            <w:r w:rsidRPr="00D957A6">
              <w:rPr>
                <w:sz w:val="20"/>
                <w:szCs w:val="20"/>
              </w:rPr>
              <w:t>Зменшення фінансового тиску на підприємство.</w:t>
            </w:r>
          </w:p>
          <w:p w:rsidR="00D9057D" w:rsidRPr="00D957A6" w:rsidRDefault="00D9057D" w:rsidP="00B14E90">
            <w:pPr>
              <w:pStyle w:val="TableParagraph"/>
              <w:ind w:left="47" w:right="177"/>
              <w:rPr>
                <w:sz w:val="20"/>
                <w:szCs w:val="20"/>
              </w:rPr>
            </w:pPr>
            <w:r w:rsidRPr="00D957A6">
              <w:rPr>
                <w:sz w:val="20"/>
                <w:szCs w:val="20"/>
              </w:rPr>
              <w:t>Унеможливлення ототожнення певних видів робіт з тими, що потребують дозволу</w:t>
            </w:r>
          </w:p>
        </w:tc>
      </w:tr>
      <w:tr w:rsidR="00C82660" w:rsidRPr="007B68D1" w:rsidTr="006E0D54">
        <w:trPr>
          <w:trHeight w:val="376"/>
        </w:trPr>
        <w:tc>
          <w:tcPr>
            <w:tcW w:w="397" w:type="dxa"/>
          </w:tcPr>
          <w:p w:rsidR="00C82660" w:rsidRPr="00D957A6" w:rsidRDefault="00E66C93" w:rsidP="00B14E90">
            <w:pPr>
              <w:pStyle w:val="TableParagraph"/>
              <w:rPr>
                <w:sz w:val="20"/>
                <w:szCs w:val="20"/>
              </w:rPr>
            </w:pPr>
            <w:r>
              <w:rPr>
                <w:sz w:val="20"/>
                <w:szCs w:val="20"/>
              </w:rPr>
              <w:t>10.</w:t>
            </w:r>
          </w:p>
        </w:tc>
        <w:tc>
          <w:tcPr>
            <w:tcW w:w="1784" w:type="dxa"/>
          </w:tcPr>
          <w:p w:rsidR="00C82660" w:rsidRPr="00D957A6" w:rsidRDefault="00B14E90" w:rsidP="00B14E90">
            <w:pPr>
              <w:pStyle w:val="TableParagraph"/>
              <w:rPr>
                <w:sz w:val="20"/>
                <w:szCs w:val="20"/>
              </w:rPr>
            </w:pPr>
            <w:r w:rsidRPr="00D957A6">
              <w:rPr>
                <w:sz w:val="20"/>
                <w:szCs w:val="20"/>
              </w:rPr>
              <w:t>Скорочення документообігу</w:t>
            </w:r>
          </w:p>
        </w:tc>
        <w:tc>
          <w:tcPr>
            <w:tcW w:w="2628" w:type="dxa"/>
          </w:tcPr>
          <w:p w:rsidR="00C82660" w:rsidRPr="00D957A6" w:rsidRDefault="00B14E90" w:rsidP="00B14E90">
            <w:pPr>
              <w:pStyle w:val="TableParagraph"/>
              <w:rPr>
                <w:sz w:val="20"/>
                <w:szCs w:val="20"/>
              </w:rPr>
            </w:pPr>
            <w:r w:rsidRPr="00D957A6">
              <w:rPr>
                <w:sz w:val="20"/>
                <w:szCs w:val="20"/>
              </w:rPr>
              <w:t>При переоформлені ліцензій провайдера програмної послуг/ мовлення внутрішніми нормативно – правовими документами регулятора передбачено подання копій документів які не стосуються змін а подаються лише для того щоб ідентифікувати ліцензійну справу.</w:t>
            </w:r>
          </w:p>
        </w:tc>
        <w:tc>
          <w:tcPr>
            <w:tcW w:w="2081" w:type="dxa"/>
          </w:tcPr>
          <w:p w:rsidR="00C82660" w:rsidRPr="00D957A6" w:rsidRDefault="00B14E90" w:rsidP="00B14E90">
            <w:pPr>
              <w:pStyle w:val="TableParagraph"/>
              <w:rPr>
                <w:sz w:val="20"/>
                <w:szCs w:val="20"/>
              </w:rPr>
            </w:pPr>
            <w:r w:rsidRPr="00D957A6">
              <w:rPr>
                <w:sz w:val="20"/>
                <w:szCs w:val="20"/>
              </w:rPr>
              <w:t>Передбачити подання лише тих документів які стосуються змін</w:t>
            </w:r>
            <w:r w:rsidR="00D957A6" w:rsidRPr="00D957A6">
              <w:rPr>
                <w:sz w:val="20"/>
                <w:szCs w:val="20"/>
              </w:rPr>
              <w:t xml:space="preserve"> (При переоформлені ліцензій, подавати лише документи щодо змін які відбулись. Наприклад, при зміні кінцевих </w:t>
            </w:r>
            <w:proofErr w:type="spellStart"/>
            <w:r w:rsidR="00D957A6" w:rsidRPr="00D957A6">
              <w:rPr>
                <w:sz w:val="20"/>
                <w:szCs w:val="20"/>
              </w:rPr>
              <w:t>бенефіціарних</w:t>
            </w:r>
            <w:proofErr w:type="spellEnd"/>
            <w:r w:rsidR="00D957A6" w:rsidRPr="00D957A6">
              <w:rPr>
                <w:sz w:val="20"/>
                <w:szCs w:val="20"/>
              </w:rPr>
              <w:t xml:space="preserve"> власників, подавати документи лише щодо нового </w:t>
            </w:r>
            <w:proofErr w:type="spellStart"/>
            <w:r w:rsidR="00D957A6" w:rsidRPr="00D957A6">
              <w:rPr>
                <w:sz w:val="20"/>
                <w:szCs w:val="20"/>
              </w:rPr>
              <w:t>бенефіціара</w:t>
            </w:r>
            <w:proofErr w:type="spellEnd"/>
            <w:r w:rsidR="00D957A6" w:rsidRPr="00D957A6">
              <w:rPr>
                <w:sz w:val="20"/>
                <w:szCs w:val="20"/>
              </w:rPr>
              <w:t xml:space="preserve">. Вилучити необхідність подання документів, які </w:t>
            </w:r>
            <w:r w:rsidR="00D957A6" w:rsidRPr="00D957A6">
              <w:rPr>
                <w:sz w:val="20"/>
                <w:szCs w:val="20"/>
              </w:rPr>
              <w:lastRenderedPageBreak/>
              <w:t>уже наявні і подавались до Національної ради.</w:t>
            </w:r>
          </w:p>
          <w:p w:rsidR="00D957A6" w:rsidRPr="00D957A6" w:rsidRDefault="00D957A6" w:rsidP="00B14E90">
            <w:pPr>
              <w:pStyle w:val="TableParagraph"/>
              <w:rPr>
                <w:sz w:val="20"/>
                <w:szCs w:val="20"/>
              </w:rPr>
            </w:pPr>
          </w:p>
          <w:p w:rsidR="00D957A6" w:rsidRPr="00D957A6" w:rsidRDefault="00D957A6" w:rsidP="00D957A6">
            <w:pPr>
              <w:pStyle w:val="TableParagraph"/>
              <w:rPr>
                <w:sz w:val="20"/>
                <w:szCs w:val="20"/>
              </w:rPr>
            </w:pPr>
            <w:r w:rsidRPr="00D957A6">
              <w:rPr>
                <w:sz w:val="20"/>
                <w:szCs w:val="20"/>
              </w:rPr>
              <w:t xml:space="preserve">При змінах в переліку програм, які не впливають на частку програм вітчизняного виробництва і не призводять до переоформлення ліцензій ППП, вилучити необхідність інформування Національної ради про зміни, тобто вилучити із Положення про </w:t>
            </w:r>
            <w:r w:rsidRPr="00D957A6">
              <w:rPr>
                <w:bCs/>
                <w:color w:val="000000"/>
                <w:sz w:val="20"/>
                <w:szCs w:val="20"/>
                <w:shd w:val="clear" w:color="auto" w:fill="FFFFFF"/>
              </w:rPr>
              <w:t>порядок видачі ліцензії провайдера програмної послуги</w:t>
            </w:r>
            <w:r w:rsidRPr="00D957A6">
              <w:rPr>
                <w:sz w:val="20"/>
                <w:szCs w:val="20"/>
              </w:rPr>
              <w:t xml:space="preserve"> п. </w:t>
            </w:r>
            <w:r w:rsidRPr="00D957A6">
              <w:rPr>
                <w:color w:val="000000"/>
                <w:sz w:val="20"/>
                <w:szCs w:val="20"/>
                <w:shd w:val="clear" w:color="auto" w:fill="FFFFFF"/>
              </w:rPr>
              <w:t>2.14. «У разі зміни відомостей, що містилися у переліку телерадіопрограм, ліцензіат повідомляє про це Національну раду протягом десяти робочих днів після настання змін шляхом подання особисто або направлення інформації щодо каналів, які вимкнені та (або) включені до переліку, і документа, передбаченого в абзаці четвертому пункту 2.4 цього розділу, із відповідним підтвердженням направлення цієї інформації.</w:t>
            </w:r>
            <w:r w:rsidRPr="00D957A6">
              <w:rPr>
                <w:sz w:val="20"/>
                <w:szCs w:val="20"/>
              </w:rPr>
              <w:t>»</w:t>
            </w:r>
          </w:p>
          <w:p w:rsidR="00D957A6" w:rsidRPr="00D957A6" w:rsidRDefault="00D957A6" w:rsidP="00B14E90">
            <w:pPr>
              <w:pStyle w:val="TableParagraph"/>
              <w:rPr>
                <w:sz w:val="20"/>
                <w:szCs w:val="20"/>
              </w:rPr>
            </w:pPr>
            <w:r w:rsidRPr="00D957A6">
              <w:rPr>
                <w:sz w:val="20"/>
                <w:szCs w:val="20"/>
              </w:rPr>
              <w:t xml:space="preserve">Натомість ввести в дію «непрацюючу норму» Положення про </w:t>
            </w:r>
            <w:r w:rsidRPr="00D957A6">
              <w:rPr>
                <w:bCs/>
                <w:color w:val="000000"/>
                <w:sz w:val="20"/>
                <w:szCs w:val="20"/>
                <w:shd w:val="clear" w:color="auto" w:fill="FFFFFF"/>
              </w:rPr>
              <w:t xml:space="preserve">порядок видачі ліцензії провайдера програмної </w:t>
            </w:r>
            <w:r w:rsidRPr="00D957A6">
              <w:rPr>
                <w:bCs/>
                <w:color w:val="000000"/>
                <w:sz w:val="20"/>
                <w:szCs w:val="20"/>
                <w:shd w:val="clear" w:color="auto" w:fill="FFFFFF"/>
              </w:rPr>
              <w:lastRenderedPageBreak/>
              <w:t>послуги 2.17.</w:t>
            </w:r>
            <w:r w:rsidRPr="00D957A6">
              <w:rPr>
                <w:sz w:val="20"/>
                <w:szCs w:val="20"/>
              </w:rPr>
              <w:t xml:space="preserve">, щодо подання переліку програм </w:t>
            </w:r>
            <w:r w:rsidRPr="00D957A6">
              <w:rPr>
                <w:b/>
                <w:sz w:val="20"/>
                <w:szCs w:val="20"/>
              </w:rPr>
              <w:t>зі змінами/уточненням щодо необхідності подання переліку програм на</w:t>
            </w:r>
            <w:r w:rsidRPr="00D957A6">
              <w:rPr>
                <w:sz w:val="20"/>
                <w:szCs w:val="20"/>
              </w:rPr>
              <w:t xml:space="preserve"> </w:t>
            </w:r>
            <w:r w:rsidRPr="00D957A6">
              <w:rPr>
                <w:b/>
                <w:sz w:val="20"/>
                <w:szCs w:val="20"/>
              </w:rPr>
              <w:t>кінець поточного року</w:t>
            </w:r>
          </w:p>
          <w:p w:rsidR="00D957A6" w:rsidRPr="00D957A6" w:rsidRDefault="00D957A6" w:rsidP="00B14E90">
            <w:pPr>
              <w:pStyle w:val="TableParagraph"/>
              <w:rPr>
                <w:sz w:val="20"/>
                <w:szCs w:val="20"/>
              </w:rPr>
            </w:pPr>
          </w:p>
        </w:tc>
        <w:tc>
          <w:tcPr>
            <w:tcW w:w="2030" w:type="dxa"/>
          </w:tcPr>
          <w:p w:rsidR="00C82660" w:rsidRPr="00D957A6" w:rsidRDefault="00B14E90" w:rsidP="00B14E90">
            <w:pPr>
              <w:pStyle w:val="TableParagraph"/>
              <w:rPr>
                <w:sz w:val="20"/>
                <w:szCs w:val="20"/>
              </w:rPr>
            </w:pPr>
            <w:r w:rsidRPr="00D957A6">
              <w:rPr>
                <w:sz w:val="20"/>
                <w:szCs w:val="20"/>
              </w:rPr>
              <w:lastRenderedPageBreak/>
              <w:t>Національна рада з питань телебачення та радіомовлення</w:t>
            </w:r>
          </w:p>
        </w:tc>
        <w:tc>
          <w:tcPr>
            <w:tcW w:w="1585" w:type="dxa"/>
          </w:tcPr>
          <w:p w:rsidR="00C82660" w:rsidRPr="00D957A6" w:rsidRDefault="00C82660" w:rsidP="00B14E90">
            <w:pPr>
              <w:pStyle w:val="TableParagraph"/>
              <w:rPr>
                <w:sz w:val="20"/>
                <w:szCs w:val="20"/>
              </w:rPr>
            </w:pPr>
          </w:p>
        </w:tc>
        <w:tc>
          <w:tcPr>
            <w:tcW w:w="2943" w:type="dxa"/>
          </w:tcPr>
          <w:p w:rsidR="00C82660" w:rsidRPr="00D957A6" w:rsidRDefault="00B14E90" w:rsidP="00B14E90">
            <w:pPr>
              <w:pStyle w:val="TableParagraph"/>
              <w:rPr>
                <w:sz w:val="20"/>
                <w:szCs w:val="20"/>
              </w:rPr>
            </w:pPr>
            <w:r w:rsidRPr="00D957A6">
              <w:rPr>
                <w:sz w:val="20"/>
                <w:szCs w:val="20"/>
              </w:rPr>
              <w:t>Зменшення непотрібного документообігу, економія на паперових носіях, відсутність необхідності зберігання великих обсягів копій документів</w:t>
            </w:r>
          </w:p>
        </w:tc>
      </w:tr>
      <w:tr w:rsidR="00D957A6" w:rsidRPr="007B68D1" w:rsidTr="006E0D54">
        <w:trPr>
          <w:trHeight w:val="376"/>
        </w:trPr>
        <w:tc>
          <w:tcPr>
            <w:tcW w:w="397" w:type="dxa"/>
          </w:tcPr>
          <w:p w:rsidR="00D957A6" w:rsidRPr="00D957A6" w:rsidRDefault="007419D6" w:rsidP="00D957A6">
            <w:pPr>
              <w:pStyle w:val="TableParagraph"/>
              <w:rPr>
                <w:sz w:val="20"/>
                <w:szCs w:val="20"/>
              </w:rPr>
            </w:pPr>
            <w:r>
              <w:rPr>
                <w:sz w:val="20"/>
                <w:szCs w:val="20"/>
              </w:rPr>
              <w:lastRenderedPageBreak/>
              <w:t>11.</w:t>
            </w:r>
          </w:p>
        </w:tc>
        <w:tc>
          <w:tcPr>
            <w:tcW w:w="1784" w:type="dxa"/>
          </w:tcPr>
          <w:p w:rsidR="00D957A6" w:rsidRPr="00D957A6" w:rsidRDefault="00D957A6" w:rsidP="00D957A6">
            <w:pPr>
              <w:pStyle w:val="TableParagraph"/>
              <w:rPr>
                <w:sz w:val="20"/>
                <w:szCs w:val="20"/>
              </w:rPr>
            </w:pPr>
            <w:r w:rsidRPr="00D957A6">
              <w:rPr>
                <w:sz w:val="20"/>
                <w:szCs w:val="20"/>
              </w:rPr>
              <w:t xml:space="preserve">Відсутність інституту медіації </w:t>
            </w:r>
          </w:p>
        </w:tc>
        <w:tc>
          <w:tcPr>
            <w:tcW w:w="2628" w:type="dxa"/>
          </w:tcPr>
          <w:p w:rsidR="00D957A6" w:rsidRPr="00D957A6" w:rsidRDefault="00D957A6" w:rsidP="00D957A6">
            <w:pPr>
              <w:pStyle w:val="TableParagraph"/>
              <w:rPr>
                <w:sz w:val="20"/>
                <w:szCs w:val="20"/>
              </w:rPr>
            </w:pPr>
            <w:r w:rsidRPr="00D957A6">
              <w:rPr>
                <w:sz w:val="20"/>
                <w:szCs w:val="20"/>
              </w:rPr>
              <w:t>Відсутня позасудова процедура врегулювання конфлікту (спору) в умовах перенавантаження судів та підвищення розміру судових витрат</w:t>
            </w:r>
          </w:p>
        </w:tc>
        <w:tc>
          <w:tcPr>
            <w:tcW w:w="2081" w:type="dxa"/>
          </w:tcPr>
          <w:p w:rsidR="00D957A6" w:rsidRPr="00D957A6" w:rsidRDefault="00D957A6" w:rsidP="00D957A6">
            <w:pPr>
              <w:pStyle w:val="TableParagraph"/>
              <w:rPr>
                <w:sz w:val="20"/>
                <w:szCs w:val="20"/>
              </w:rPr>
            </w:pPr>
            <w:r w:rsidRPr="00D957A6">
              <w:rPr>
                <w:sz w:val="20"/>
                <w:szCs w:val="20"/>
              </w:rPr>
              <w:t>внесення на розгляд Кабінету Міністрів України та подальше</w:t>
            </w:r>
          </w:p>
          <w:p w:rsidR="00D957A6" w:rsidRPr="00D957A6" w:rsidRDefault="00D957A6" w:rsidP="00D957A6">
            <w:pPr>
              <w:pStyle w:val="TableParagraph"/>
              <w:rPr>
                <w:sz w:val="20"/>
                <w:szCs w:val="20"/>
              </w:rPr>
            </w:pPr>
            <w:r w:rsidRPr="00D957A6">
              <w:rPr>
                <w:sz w:val="20"/>
                <w:szCs w:val="20"/>
              </w:rPr>
              <w:t>супроводження у Верховній Раді України проекту Закону України “Про</w:t>
            </w:r>
          </w:p>
          <w:p w:rsidR="00D957A6" w:rsidRPr="00D957A6" w:rsidRDefault="00D957A6" w:rsidP="00D957A6">
            <w:pPr>
              <w:pStyle w:val="TableParagraph"/>
              <w:rPr>
                <w:sz w:val="20"/>
                <w:szCs w:val="20"/>
              </w:rPr>
            </w:pPr>
            <w:r w:rsidRPr="00D957A6">
              <w:rPr>
                <w:sz w:val="20"/>
                <w:szCs w:val="20"/>
              </w:rPr>
              <w:t>медіацію”</w:t>
            </w:r>
          </w:p>
        </w:tc>
        <w:tc>
          <w:tcPr>
            <w:tcW w:w="2030" w:type="dxa"/>
          </w:tcPr>
          <w:p w:rsidR="00D957A6" w:rsidRPr="00D957A6" w:rsidRDefault="00D957A6" w:rsidP="00D957A6">
            <w:pPr>
              <w:pStyle w:val="TableParagraph"/>
              <w:rPr>
                <w:sz w:val="20"/>
                <w:szCs w:val="20"/>
              </w:rPr>
            </w:pPr>
            <w:r w:rsidRPr="00D957A6">
              <w:rPr>
                <w:sz w:val="20"/>
                <w:szCs w:val="20"/>
              </w:rPr>
              <w:t>Мін’юст</w:t>
            </w:r>
          </w:p>
        </w:tc>
        <w:tc>
          <w:tcPr>
            <w:tcW w:w="1585" w:type="dxa"/>
          </w:tcPr>
          <w:p w:rsidR="00D957A6" w:rsidRPr="00D957A6" w:rsidRDefault="00D957A6" w:rsidP="00D957A6">
            <w:pPr>
              <w:pStyle w:val="TableParagraph"/>
              <w:tabs>
                <w:tab w:val="left" w:pos="242"/>
              </w:tabs>
              <w:rPr>
                <w:sz w:val="20"/>
                <w:szCs w:val="20"/>
              </w:rPr>
            </w:pPr>
            <w:r w:rsidRPr="00D957A6">
              <w:rPr>
                <w:sz w:val="20"/>
                <w:szCs w:val="20"/>
              </w:rPr>
              <w:t>6 місяців</w:t>
            </w:r>
          </w:p>
        </w:tc>
        <w:tc>
          <w:tcPr>
            <w:tcW w:w="2943" w:type="dxa"/>
          </w:tcPr>
          <w:p w:rsidR="00D957A6" w:rsidRPr="00D957A6" w:rsidRDefault="00D957A6" w:rsidP="00D957A6">
            <w:pPr>
              <w:pStyle w:val="TableParagraph"/>
              <w:numPr>
                <w:ilvl w:val="0"/>
                <w:numId w:val="1"/>
              </w:numPr>
              <w:tabs>
                <w:tab w:val="left" w:pos="242"/>
              </w:tabs>
              <w:ind w:left="0" w:firstLine="0"/>
              <w:rPr>
                <w:sz w:val="20"/>
                <w:szCs w:val="20"/>
              </w:rPr>
            </w:pPr>
            <w:r w:rsidRPr="00D957A6">
              <w:rPr>
                <w:sz w:val="20"/>
                <w:szCs w:val="20"/>
              </w:rPr>
              <w:t>Зниження кількості справ, що розглядаються судами</w:t>
            </w:r>
          </w:p>
          <w:p w:rsidR="00D957A6" w:rsidRPr="00D957A6" w:rsidRDefault="00D957A6" w:rsidP="00D957A6">
            <w:pPr>
              <w:pStyle w:val="TableParagraph"/>
              <w:numPr>
                <w:ilvl w:val="0"/>
                <w:numId w:val="1"/>
              </w:numPr>
              <w:tabs>
                <w:tab w:val="left" w:pos="242"/>
              </w:tabs>
              <w:ind w:left="0" w:firstLine="0"/>
              <w:rPr>
                <w:sz w:val="20"/>
                <w:szCs w:val="20"/>
              </w:rPr>
            </w:pPr>
            <w:r w:rsidRPr="00D957A6">
              <w:rPr>
                <w:sz w:val="20"/>
                <w:szCs w:val="20"/>
              </w:rPr>
              <w:t xml:space="preserve">Підвищення якості правосуддя за рахунок за рахунок п.1 </w:t>
            </w:r>
          </w:p>
          <w:p w:rsidR="00D957A6" w:rsidRPr="00D957A6" w:rsidRDefault="00D957A6" w:rsidP="00D957A6">
            <w:pPr>
              <w:pStyle w:val="TableParagraph"/>
              <w:numPr>
                <w:ilvl w:val="0"/>
                <w:numId w:val="1"/>
              </w:numPr>
              <w:tabs>
                <w:tab w:val="left" w:pos="242"/>
              </w:tabs>
              <w:ind w:left="0" w:firstLine="0"/>
              <w:rPr>
                <w:sz w:val="20"/>
                <w:szCs w:val="20"/>
              </w:rPr>
            </w:pPr>
            <w:r w:rsidRPr="00D957A6">
              <w:rPr>
                <w:sz w:val="20"/>
                <w:szCs w:val="20"/>
              </w:rPr>
              <w:t xml:space="preserve">Зниження судових витрат (у </w:t>
            </w:r>
            <w:proofErr w:type="spellStart"/>
            <w:r w:rsidRPr="00D957A6">
              <w:rPr>
                <w:sz w:val="20"/>
                <w:szCs w:val="20"/>
              </w:rPr>
              <w:t>т.ч</w:t>
            </w:r>
            <w:proofErr w:type="spellEnd"/>
            <w:r w:rsidRPr="00D957A6">
              <w:rPr>
                <w:sz w:val="20"/>
                <w:szCs w:val="20"/>
              </w:rPr>
              <w:t>. по сплаті державного мита, оплати послуг представника, відрядження, транспортних та інших витратах)</w:t>
            </w:r>
          </w:p>
        </w:tc>
      </w:tr>
      <w:tr w:rsidR="00D957A6" w:rsidRPr="007B68D1" w:rsidTr="006E0D54">
        <w:trPr>
          <w:trHeight w:val="376"/>
        </w:trPr>
        <w:tc>
          <w:tcPr>
            <w:tcW w:w="397" w:type="dxa"/>
          </w:tcPr>
          <w:p w:rsidR="00D957A6" w:rsidRPr="00D957A6" w:rsidRDefault="007419D6" w:rsidP="00D957A6">
            <w:pPr>
              <w:pStyle w:val="TableParagraph"/>
              <w:rPr>
                <w:sz w:val="20"/>
                <w:szCs w:val="20"/>
              </w:rPr>
            </w:pPr>
            <w:r>
              <w:rPr>
                <w:sz w:val="20"/>
                <w:szCs w:val="20"/>
              </w:rPr>
              <w:t>12.</w:t>
            </w:r>
          </w:p>
        </w:tc>
        <w:tc>
          <w:tcPr>
            <w:tcW w:w="1784" w:type="dxa"/>
          </w:tcPr>
          <w:p w:rsidR="00D957A6" w:rsidRPr="00D957A6" w:rsidRDefault="00D957A6" w:rsidP="00D957A6">
            <w:pPr>
              <w:pStyle w:val="TableParagraph"/>
              <w:rPr>
                <w:sz w:val="20"/>
                <w:szCs w:val="20"/>
              </w:rPr>
            </w:pPr>
            <w:r w:rsidRPr="00D957A6">
              <w:rPr>
                <w:sz w:val="20"/>
                <w:szCs w:val="20"/>
              </w:rPr>
              <w:t>Дублювання інформації в документах</w:t>
            </w:r>
          </w:p>
        </w:tc>
        <w:tc>
          <w:tcPr>
            <w:tcW w:w="2628" w:type="dxa"/>
          </w:tcPr>
          <w:p w:rsidR="00D957A6" w:rsidRPr="00D957A6" w:rsidRDefault="00D957A6" w:rsidP="00D957A6">
            <w:pPr>
              <w:pStyle w:val="TableParagraph"/>
              <w:rPr>
                <w:sz w:val="20"/>
                <w:szCs w:val="20"/>
              </w:rPr>
            </w:pPr>
            <w:r w:rsidRPr="00D957A6">
              <w:rPr>
                <w:sz w:val="20"/>
                <w:szCs w:val="20"/>
              </w:rPr>
              <w:t xml:space="preserve">При поданні документів на отримання ліцензії ППП чи переоформлення ліцензії, у зв’язку із змінами у переліку програм, які впливають на розмір мінімальної частки програм вітчизняного виробництва, необхідно подавати два документи Додаток 3 і Додаток 4, які по-суті дублюють один одного </w:t>
            </w:r>
          </w:p>
        </w:tc>
        <w:tc>
          <w:tcPr>
            <w:tcW w:w="2081" w:type="dxa"/>
          </w:tcPr>
          <w:p w:rsidR="00D957A6" w:rsidRPr="00D957A6" w:rsidRDefault="00D957A6" w:rsidP="00D957A6">
            <w:pPr>
              <w:spacing w:after="0"/>
              <w:rPr>
                <w:rFonts w:ascii="Times New Roman" w:hAnsi="Times New Roman" w:cs="Times New Roman"/>
                <w:bCs/>
                <w:sz w:val="20"/>
                <w:szCs w:val="20"/>
                <w:lang w:val="uk-UA"/>
              </w:rPr>
            </w:pPr>
            <w:r w:rsidRPr="00D957A6">
              <w:rPr>
                <w:rFonts w:ascii="Times New Roman" w:hAnsi="Times New Roman" w:cs="Times New Roman"/>
                <w:sz w:val="20"/>
                <w:szCs w:val="20"/>
                <w:lang w:val="uk-UA"/>
              </w:rPr>
              <w:t>Для провайдерів ПП вилучити необхідність подання Додатку 4 (</w:t>
            </w:r>
            <w:r w:rsidRPr="00D957A6">
              <w:rPr>
                <w:rFonts w:ascii="Times New Roman" w:hAnsi="Times New Roman" w:cs="Times New Roman"/>
                <w:bCs/>
                <w:sz w:val="20"/>
                <w:szCs w:val="20"/>
                <w:lang w:val="uk-UA"/>
              </w:rPr>
              <w:t xml:space="preserve">Загальна концепція пакетування (перелік) програм, </w:t>
            </w:r>
          </w:p>
          <w:p w:rsidR="00D957A6" w:rsidRPr="00D957A6" w:rsidRDefault="00D957A6" w:rsidP="00D957A6">
            <w:pPr>
              <w:spacing w:after="0"/>
              <w:rPr>
                <w:rFonts w:ascii="Times New Roman" w:hAnsi="Times New Roman" w:cs="Times New Roman"/>
                <w:bCs/>
                <w:sz w:val="20"/>
                <w:szCs w:val="20"/>
                <w:lang w:val="uk-UA"/>
              </w:rPr>
            </w:pPr>
            <w:r w:rsidRPr="00D957A6">
              <w:rPr>
                <w:rFonts w:ascii="Times New Roman" w:hAnsi="Times New Roman" w:cs="Times New Roman"/>
                <w:bCs/>
                <w:sz w:val="20"/>
                <w:szCs w:val="20"/>
                <w:lang w:val="uk-UA"/>
              </w:rPr>
              <w:t>придбаних для ретрансляції</w:t>
            </w:r>
            <w:r w:rsidRPr="00D957A6">
              <w:rPr>
                <w:rFonts w:ascii="Times New Roman" w:hAnsi="Times New Roman" w:cs="Times New Roman"/>
                <w:sz w:val="20"/>
                <w:szCs w:val="20"/>
                <w:lang w:val="uk-UA"/>
              </w:rPr>
              <w:t>), оскільки він дублює інформацію зазначену в Додатку 3</w:t>
            </w:r>
            <w:r w:rsidRPr="00D957A6">
              <w:rPr>
                <w:rFonts w:ascii="Times New Roman" w:hAnsi="Times New Roman" w:cs="Times New Roman"/>
                <w:bCs/>
                <w:sz w:val="20"/>
                <w:szCs w:val="20"/>
                <w:lang w:val="uk-UA"/>
              </w:rPr>
              <w:t xml:space="preserve"> (Інформація про програми, які провайдер програмної послуги </w:t>
            </w:r>
          </w:p>
          <w:p w:rsidR="00D957A6" w:rsidRPr="00D957A6" w:rsidRDefault="00D957A6" w:rsidP="00D957A6">
            <w:pPr>
              <w:pStyle w:val="TableParagraph"/>
              <w:rPr>
                <w:sz w:val="20"/>
                <w:szCs w:val="20"/>
              </w:rPr>
            </w:pPr>
            <w:r w:rsidRPr="00D957A6">
              <w:rPr>
                <w:bCs/>
                <w:sz w:val="20"/>
                <w:szCs w:val="20"/>
              </w:rPr>
              <w:t>має намір ретранслювати)</w:t>
            </w:r>
          </w:p>
        </w:tc>
        <w:tc>
          <w:tcPr>
            <w:tcW w:w="2030" w:type="dxa"/>
          </w:tcPr>
          <w:p w:rsidR="00D957A6" w:rsidRPr="00D957A6" w:rsidRDefault="00D957A6" w:rsidP="00D957A6">
            <w:pPr>
              <w:pStyle w:val="TableParagraph"/>
              <w:rPr>
                <w:sz w:val="20"/>
                <w:szCs w:val="20"/>
              </w:rPr>
            </w:pPr>
            <w:r w:rsidRPr="00D957A6">
              <w:rPr>
                <w:sz w:val="20"/>
                <w:szCs w:val="20"/>
              </w:rPr>
              <w:t>Національна рада з питань телебачення та радіомовлення</w:t>
            </w:r>
          </w:p>
        </w:tc>
        <w:tc>
          <w:tcPr>
            <w:tcW w:w="1585" w:type="dxa"/>
          </w:tcPr>
          <w:p w:rsidR="00D957A6" w:rsidRPr="00D957A6" w:rsidRDefault="00D957A6" w:rsidP="00D957A6">
            <w:pPr>
              <w:pStyle w:val="TableParagraph"/>
              <w:rPr>
                <w:sz w:val="20"/>
                <w:szCs w:val="20"/>
              </w:rPr>
            </w:pPr>
          </w:p>
        </w:tc>
        <w:tc>
          <w:tcPr>
            <w:tcW w:w="2943" w:type="dxa"/>
          </w:tcPr>
          <w:p w:rsidR="00D957A6" w:rsidRPr="00D957A6" w:rsidRDefault="00D957A6" w:rsidP="00D957A6">
            <w:pPr>
              <w:pStyle w:val="TableParagraph"/>
              <w:rPr>
                <w:sz w:val="20"/>
                <w:szCs w:val="20"/>
              </w:rPr>
            </w:pPr>
          </w:p>
        </w:tc>
      </w:tr>
    </w:tbl>
    <w:p w:rsidR="00D478CE" w:rsidRPr="00D957A6" w:rsidRDefault="00D478CE">
      <w:pPr>
        <w:rPr>
          <w:rFonts w:ascii="Times New Roman" w:hAnsi="Times New Roman" w:cs="Times New Roman"/>
          <w:lang w:val="uk-UA"/>
        </w:rPr>
      </w:pPr>
    </w:p>
    <w:sectPr w:rsidR="00D478CE" w:rsidRPr="00D957A6" w:rsidSect="001F1D7F">
      <w:headerReference w:type="default" r:id="rId7"/>
      <w:pgSz w:w="15840" w:h="12240" w:orient="landscape"/>
      <w:pgMar w:top="567"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09" w:rsidRDefault="00974D09" w:rsidP="007B68D1">
      <w:pPr>
        <w:spacing w:after="0" w:line="240" w:lineRule="auto"/>
      </w:pPr>
      <w:r>
        <w:separator/>
      </w:r>
    </w:p>
  </w:endnote>
  <w:endnote w:type="continuationSeparator" w:id="0">
    <w:p w:rsidR="00974D09" w:rsidRDefault="00974D09" w:rsidP="007B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09" w:rsidRDefault="00974D09" w:rsidP="007B68D1">
      <w:pPr>
        <w:spacing w:after="0" w:line="240" w:lineRule="auto"/>
      </w:pPr>
      <w:r>
        <w:separator/>
      </w:r>
    </w:p>
  </w:footnote>
  <w:footnote w:type="continuationSeparator" w:id="0">
    <w:p w:rsidR="00974D09" w:rsidRDefault="00974D09" w:rsidP="007B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D1" w:rsidRDefault="007B68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362E9"/>
    <w:multiLevelType w:val="hybridMultilevel"/>
    <w:tmpl w:val="CE4CDD24"/>
    <w:lvl w:ilvl="0" w:tplc="2CD67A7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CE"/>
    <w:rsid w:val="00093430"/>
    <w:rsid w:val="000B1F95"/>
    <w:rsid w:val="001F1D7F"/>
    <w:rsid w:val="002108A3"/>
    <w:rsid w:val="00211D2E"/>
    <w:rsid w:val="002638C0"/>
    <w:rsid w:val="002910F4"/>
    <w:rsid w:val="002B1215"/>
    <w:rsid w:val="00415914"/>
    <w:rsid w:val="00460D17"/>
    <w:rsid w:val="006E0D54"/>
    <w:rsid w:val="00712AB1"/>
    <w:rsid w:val="007419D6"/>
    <w:rsid w:val="00742151"/>
    <w:rsid w:val="00745FF1"/>
    <w:rsid w:val="007B68D1"/>
    <w:rsid w:val="00906851"/>
    <w:rsid w:val="00913D0F"/>
    <w:rsid w:val="00974D09"/>
    <w:rsid w:val="009A5BBB"/>
    <w:rsid w:val="00B14E90"/>
    <w:rsid w:val="00B87474"/>
    <w:rsid w:val="00C82660"/>
    <w:rsid w:val="00D2573E"/>
    <w:rsid w:val="00D478CE"/>
    <w:rsid w:val="00D87560"/>
    <w:rsid w:val="00D9057D"/>
    <w:rsid w:val="00D957A6"/>
    <w:rsid w:val="00E66C93"/>
    <w:rsid w:val="00F63B9E"/>
    <w:rsid w:val="00F6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96813F-ED2D-4456-80F7-4084D9E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5FF1"/>
    <w:pPr>
      <w:widowControl w:val="0"/>
      <w:autoSpaceDE w:val="0"/>
      <w:autoSpaceDN w:val="0"/>
      <w:spacing w:after="0" w:line="240" w:lineRule="auto"/>
      <w:ind w:left="2864"/>
      <w:outlineLvl w:val="0"/>
    </w:pPr>
    <w:rPr>
      <w:rFonts w:ascii="Times New Roman" w:eastAsia="Times New Roman" w:hAnsi="Times New Roman" w:cs="Times New Roman"/>
      <w:b/>
      <w:bCs/>
      <w:sz w:val="28"/>
      <w:szCs w:val="28"/>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FF1"/>
    <w:rPr>
      <w:rFonts w:ascii="Times New Roman" w:eastAsia="Times New Roman" w:hAnsi="Times New Roman" w:cs="Times New Roman"/>
      <w:b/>
      <w:bCs/>
      <w:sz w:val="28"/>
      <w:szCs w:val="28"/>
      <w:lang w:val="uk-UA" w:eastAsia="uk-UA" w:bidi="uk-UA"/>
    </w:rPr>
  </w:style>
  <w:style w:type="paragraph" w:customStyle="1" w:styleId="TableParagraph">
    <w:name w:val="Table Paragraph"/>
    <w:basedOn w:val="a"/>
    <w:uiPriority w:val="1"/>
    <w:qFormat/>
    <w:rsid w:val="00745FF1"/>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3">
    <w:name w:val="Strong"/>
    <w:basedOn w:val="a0"/>
    <w:uiPriority w:val="22"/>
    <w:qFormat/>
    <w:rsid w:val="00D9057D"/>
    <w:rPr>
      <w:b/>
      <w:bCs/>
    </w:rPr>
  </w:style>
  <w:style w:type="paragraph" w:styleId="a4">
    <w:name w:val="header"/>
    <w:basedOn w:val="a"/>
    <w:link w:val="a5"/>
    <w:uiPriority w:val="99"/>
    <w:unhideWhenUsed/>
    <w:rsid w:val="007B68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8D1"/>
  </w:style>
  <w:style w:type="paragraph" w:styleId="a6">
    <w:name w:val="footer"/>
    <w:basedOn w:val="a"/>
    <w:link w:val="a7"/>
    <w:uiPriority w:val="99"/>
    <w:unhideWhenUsed/>
    <w:rsid w:val="007B68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Satsuk</dc:creator>
  <cp:keywords/>
  <dc:description/>
  <cp:lastModifiedBy>Пригорницька Маріна</cp:lastModifiedBy>
  <cp:revision>2</cp:revision>
  <cp:lastPrinted>2019-11-04T10:22:00Z</cp:lastPrinted>
  <dcterms:created xsi:type="dcterms:W3CDTF">2019-11-04T10:50:00Z</dcterms:created>
  <dcterms:modified xsi:type="dcterms:W3CDTF">2019-11-04T10:50:00Z</dcterms:modified>
</cp:coreProperties>
</file>