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1E" w:rsidRDefault="00F7481E">
      <w:pPr>
        <w:spacing w:after="0"/>
        <w:ind w:left="0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  <w:bookmarkStart w:id="0" w:name="_GoBack"/>
      <w:bookmarkEnd w:id="0"/>
    </w:p>
    <w:p w:rsidR="00F7481E" w:rsidRDefault="00F7481E">
      <w:pPr>
        <w:spacing w:after="0"/>
        <w:ind w:left="0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</w:p>
    <w:p w:rsidR="00F7481E" w:rsidRDefault="00F7481E">
      <w:pPr>
        <w:spacing w:after="0"/>
        <w:ind w:left="0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</w:p>
    <w:p w:rsidR="00F7481E" w:rsidRDefault="00D10E00">
      <w:pPr>
        <w:spacing w:after="0"/>
        <w:ind w:left="0" w:firstLine="709"/>
        <w:jc w:val="right"/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lang w:val="uk-UA"/>
        </w:rPr>
        <w:t>Додаток до листа Телекомпалати від 28.03.2018 № 2265/1</w:t>
      </w:r>
    </w:p>
    <w:p w:rsidR="00F7481E" w:rsidRDefault="00F7481E">
      <w:pPr>
        <w:ind w:left="0" w:firstLine="709"/>
        <w:jc w:val="right"/>
        <w:rPr>
          <w:rFonts w:ascii="Times New Roman" w:hAnsi="Times New Roman" w:cs="Times New Roman"/>
          <w:color w:val="000000" w:themeColor="text1"/>
          <w:sz w:val="24"/>
          <w:szCs w:val="28"/>
          <w:lang w:val="uk-UA"/>
        </w:rPr>
      </w:pPr>
    </w:p>
    <w:tbl>
      <w:tblPr>
        <w:tblW w:w="9782" w:type="dxa"/>
        <w:tblInd w:w="-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8"/>
        <w:gridCol w:w="4824"/>
      </w:tblGrid>
      <w:tr w:rsidR="00F7481E"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1E" w:rsidRDefault="00D10E00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Редакц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Законопроекту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і до обговорення</w:t>
            </w:r>
          </w:p>
        </w:tc>
        <w:tc>
          <w:tcPr>
            <w:tcW w:w="4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1E" w:rsidRDefault="00D10E00">
            <w:pPr>
              <w:spacing w:after="0"/>
              <w:ind w:left="0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Доопрацьована редакція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Законопроекту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пропонується до підписання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Президентом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7481E"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1E" w:rsidRPr="00CF0C2A" w:rsidRDefault="00D10E00">
            <w:pPr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137.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здійснення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прирівняних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капіталу</w:t>
            </w:r>
            <w:proofErr w:type="spellEnd"/>
          </w:p>
          <w:p w:rsidR="00F7481E" w:rsidRDefault="00D10E00">
            <w:pPr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137.1. База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прирівняних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капіталу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як сума:</w:t>
            </w:r>
          </w:p>
          <w:p w:rsidR="00F7481E" w:rsidRDefault="00D10E00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…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1E" w:rsidRDefault="00D10E00">
            <w:pPr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Стаття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137.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здійснення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прирівняних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капіталу</w:t>
            </w:r>
            <w:proofErr w:type="spellEnd"/>
          </w:p>
          <w:p w:rsidR="00F7481E" w:rsidRDefault="00D10E00">
            <w:pPr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137.1. База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оподаткування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прирівняних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операціи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капіталу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як сума:</w:t>
            </w:r>
          </w:p>
          <w:p w:rsidR="00F7481E" w:rsidRDefault="00D10E00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…</w:t>
            </w:r>
          </w:p>
        </w:tc>
      </w:tr>
      <w:tr w:rsidR="00F7481E"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1E" w:rsidRDefault="00D10E00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137.1.9.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сплаченого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нерезиденту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) року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доходів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збільшену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на 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відсотки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чистого доходу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реалізаціі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продукціі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̈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)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страховиків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чистих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зароблених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страхових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преміи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̆),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фінансовоі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доходу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), а дл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банків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відсотки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доходу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операційноі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та доходу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;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суб'єктів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провадять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телебачення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іомовлення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до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України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телебачення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радіомовлення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", –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доходів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збільшену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на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чистого доходу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реалізаціі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продукціі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),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 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фінансовоі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рі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доходу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підпункту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здійснюється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підпункту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137.1.10 пункту 137.1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137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Кодексу.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новостворених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виведении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капітал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відсутніи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фінансовии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попередніи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відсотки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розраховуються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фінансовоі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поточнии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;</w:t>
            </w:r>
          </w:p>
          <w:p w:rsidR="00F7481E" w:rsidRDefault="00F7481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</w:rPr>
            </w:pPr>
          </w:p>
        </w:tc>
        <w:tc>
          <w:tcPr>
            <w:tcW w:w="4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81E" w:rsidRDefault="00D10E00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137.1.9.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сплаченого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нерезиденту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податкового</w:t>
            </w:r>
            <w:proofErr w:type="spellEnd"/>
            <w:r w:rsidR="00CF0C2A" w:rsidRPr="00CF0C2A"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) року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суму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доходів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збільшену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на 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відсотки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чистого доходу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реалізаціі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продукціі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̈ (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товарів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)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страховиків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чистих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зароблених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страхових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преміи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̆),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фінансовоі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(без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доход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крім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суб'єктів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провадять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телебачення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радіомовлення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до Закону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України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телебачення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радіомовлення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2"/>
                <w:szCs w:val="16"/>
                <w:u w:val="single"/>
              </w:rPr>
              <w:t>")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банків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обсязі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відсотки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доходу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операційноі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додану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та доходу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підпункту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здійснюється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урахування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роялті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оподатковується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підпункту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137.1.10 пу</w:t>
            </w: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нкту 137.1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137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Кодексу.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новостворених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платників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податку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виведении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капітал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відсутніи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фінансовии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попередніи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, 4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відсотки</w:t>
            </w:r>
            <w:proofErr w:type="spellEnd"/>
          </w:p>
          <w:p w:rsidR="00F7481E" w:rsidRDefault="00D10E00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розраховуються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даними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фінансовоі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̈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поточнии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 xml:space="preserve">̆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16"/>
              </w:rPr>
              <w:t>;</w:t>
            </w:r>
          </w:p>
          <w:p w:rsidR="00F7481E" w:rsidRDefault="00F7481E">
            <w:pPr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2"/>
                <w:szCs w:val="19"/>
              </w:rPr>
            </w:pPr>
          </w:p>
        </w:tc>
      </w:tr>
    </w:tbl>
    <w:p w:rsidR="00F7481E" w:rsidRDefault="00D10E00">
      <w:pPr>
        <w:shd w:val="clear" w:color="auto" w:fill="FFFFFF"/>
        <w:spacing w:after="0"/>
        <w:ind w:left="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eastAsia="Times New Roman" w:cs="Helvetica"/>
        </w:rPr>
        <w:t> </w:t>
      </w:r>
    </w:p>
    <w:p w:rsidR="00F7481E" w:rsidRDefault="00F7481E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uk-UA"/>
        </w:rPr>
      </w:pPr>
    </w:p>
    <w:sectPr w:rsidR="00F7481E">
      <w:pgSz w:w="11900" w:h="16840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1E"/>
    <w:rsid w:val="0014704B"/>
    <w:rsid w:val="00CF0C2A"/>
    <w:rsid w:val="00D10E00"/>
    <w:rsid w:val="00F7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AA7BD24-2A21-7445-B471-4069D7CA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="2160"/>
    </w:pPr>
    <w:rPr>
      <w:rFonts w:ascii="Helvetica" w:hAnsi="Helvetica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color w:val="5A5A5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0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Pavlenko</dc:creator>
  <cp:keywords/>
  <dc:description/>
  <cp:lastModifiedBy>Пригорницька Маріна</cp:lastModifiedBy>
  <cp:revision>2</cp:revision>
  <cp:lastPrinted>2018-03-28T13:26:00Z</cp:lastPrinted>
  <dcterms:created xsi:type="dcterms:W3CDTF">2018-03-29T12:40:00Z</dcterms:created>
  <dcterms:modified xsi:type="dcterms:W3CDTF">2018-03-29T12:40:00Z</dcterms:modified>
</cp:coreProperties>
</file>